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59" w:rsidRDefault="004F1359"/>
    <w:p w:rsidR="00897312" w:rsidRPr="00897312" w:rsidRDefault="00897312" w:rsidP="00897312">
      <w:pPr>
        <w:jc w:val="center"/>
        <w:rPr>
          <w:rFonts w:ascii="Times New Roman" w:eastAsia="Times New Roman" w:hAnsi="Times New Roman"/>
          <w:sz w:val="72"/>
          <w:szCs w:val="20"/>
          <w:lang w:bidi="ar-SA"/>
        </w:rPr>
      </w:pPr>
    </w:p>
    <w:p w:rsidR="00897312" w:rsidRPr="00897312" w:rsidRDefault="00897312" w:rsidP="00897312">
      <w:pPr>
        <w:keepNext/>
        <w:jc w:val="center"/>
        <w:outlineLvl w:val="0"/>
        <w:rPr>
          <w:rFonts w:ascii="Times New Roman" w:eastAsia="Times New Roman" w:hAnsi="Times New Roman"/>
          <w:i/>
          <w:szCs w:val="20"/>
          <w:lang w:bidi="ar-SA"/>
        </w:rPr>
      </w:pPr>
    </w:p>
    <w:p w:rsidR="00897312" w:rsidRPr="00897312" w:rsidRDefault="00897312" w:rsidP="00897312">
      <w:pPr>
        <w:rPr>
          <w:rFonts w:ascii="Times New Roman" w:eastAsia="Times New Roman" w:hAnsi="Times New Roman"/>
          <w:sz w:val="20"/>
          <w:szCs w:val="20"/>
          <w:lang w:bidi="ar-SA"/>
        </w:rPr>
      </w:pPr>
    </w:p>
    <w:p w:rsidR="00897312" w:rsidRPr="00897312" w:rsidRDefault="00897312" w:rsidP="00897312">
      <w:pPr>
        <w:rPr>
          <w:rFonts w:ascii="Times New Roman" w:eastAsia="Times New Roman" w:hAnsi="Times New Roman"/>
          <w:sz w:val="20"/>
          <w:szCs w:val="20"/>
          <w:lang w:bidi="ar-SA"/>
        </w:rPr>
      </w:pPr>
    </w:p>
    <w:p w:rsidR="00897312" w:rsidRPr="00897312" w:rsidRDefault="00897312" w:rsidP="00897312">
      <w:pPr>
        <w:keepNext/>
        <w:jc w:val="center"/>
        <w:outlineLvl w:val="0"/>
        <w:rPr>
          <w:rFonts w:ascii="Times New Roman" w:eastAsia="Times New Roman" w:hAnsi="Times New Roman"/>
          <w:i/>
          <w:szCs w:val="20"/>
          <w:lang w:bidi="ar-SA"/>
        </w:rPr>
      </w:pPr>
    </w:p>
    <w:p w:rsidR="00897312" w:rsidRDefault="00146758" w:rsidP="00897312">
      <w:pPr>
        <w:keepNext/>
        <w:jc w:val="center"/>
        <w:outlineLvl w:val="0"/>
        <w:rPr>
          <w:rFonts w:ascii="Times New Roman" w:eastAsia="Times New Roman" w:hAnsi="Times New Roman"/>
          <w:b/>
          <w:sz w:val="56"/>
          <w:szCs w:val="20"/>
          <w:lang w:bidi="ar-SA"/>
        </w:rPr>
      </w:pPr>
      <w:r>
        <w:rPr>
          <w:rFonts w:ascii="Times New Roman" w:eastAsia="Times New Roman" w:hAnsi="Times New Roman"/>
          <w:b/>
          <w:sz w:val="56"/>
          <w:szCs w:val="20"/>
          <w:lang w:bidi="ar-SA"/>
        </w:rPr>
        <w:t>Glades</w:t>
      </w:r>
      <w:r w:rsidR="00897312" w:rsidRPr="00897312">
        <w:rPr>
          <w:rFonts w:ascii="Times New Roman" w:eastAsia="Times New Roman" w:hAnsi="Times New Roman"/>
          <w:b/>
          <w:sz w:val="56"/>
          <w:szCs w:val="20"/>
          <w:lang w:bidi="ar-SA"/>
        </w:rPr>
        <w:t xml:space="preserve"> County </w:t>
      </w:r>
    </w:p>
    <w:p w:rsidR="00897312" w:rsidRPr="00897312" w:rsidRDefault="00146758" w:rsidP="00897312">
      <w:pPr>
        <w:keepNext/>
        <w:jc w:val="center"/>
        <w:outlineLvl w:val="0"/>
        <w:rPr>
          <w:rFonts w:ascii="Times New Roman" w:eastAsia="Times New Roman" w:hAnsi="Times New Roman"/>
          <w:b/>
          <w:sz w:val="56"/>
          <w:szCs w:val="56"/>
          <w:lang w:bidi="ar-SA"/>
        </w:rPr>
      </w:pPr>
      <w:r>
        <w:rPr>
          <w:rFonts w:ascii="Times New Roman" w:eastAsia="Times New Roman" w:hAnsi="Times New Roman"/>
          <w:b/>
          <w:sz w:val="56"/>
          <w:szCs w:val="20"/>
          <w:lang w:bidi="ar-SA"/>
        </w:rPr>
        <w:t>Behavioral Health Receiving System</w:t>
      </w:r>
      <w:r w:rsidR="00897312" w:rsidRPr="00897312">
        <w:rPr>
          <w:rFonts w:ascii="Times New Roman" w:eastAsia="Times New Roman" w:hAnsi="Times New Roman"/>
          <w:b/>
          <w:sz w:val="56"/>
          <w:szCs w:val="20"/>
          <w:lang w:bidi="ar-SA"/>
        </w:rPr>
        <w:t xml:space="preserve"> </w:t>
      </w:r>
      <w:bookmarkStart w:id="0" w:name="_Toc13450833"/>
      <w:r w:rsidR="00897312" w:rsidRPr="00897312">
        <w:rPr>
          <w:rFonts w:ascii="Times New Roman" w:eastAsia="Times New Roman" w:hAnsi="Times New Roman"/>
          <w:b/>
          <w:sz w:val="56"/>
          <w:szCs w:val="56"/>
          <w:lang w:bidi="ar-SA"/>
        </w:rPr>
        <w:t>Plan</w:t>
      </w:r>
    </w:p>
    <w:p w:rsidR="00897312" w:rsidRPr="00897312" w:rsidRDefault="00897312" w:rsidP="00897312">
      <w:pPr>
        <w:keepNext/>
        <w:jc w:val="center"/>
        <w:outlineLvl w:val="0"/>
        <w:rPr>
          <w:rFonts w:ascii="Times New Roman" w:eastAsia="Times New Roman" w:hAnsi="Times New Roman"/>
          <w:i/>
          <w:sz w:val="28"/>
          <w:szCs w:val="28"/>
          <w:lang w:bidi="ar-SA"/>
        </w:rPr>
      </w:pPr>
    </w:p>
    <w:p w:rsidR="00897312" w:rsidRPr="00897312" w:rsidRDefault="00897312" w:rsidP="00897312">
      <w:pPr>
        <w:keepNext/>
        <w:jc w:val="center"/>
        <w:outlineLvl w:val="0"/>
        <w:rPr>
          <w:rFonts w:ascii="Times New Roman" w:eastAsia="Times New Roman" w:hAnsi="Times New Roman"/>
          <w:i/>
          <w:sz w:val="28"/>
          <w:szCs w:val="28"/>
          <w:lang w:bidi="ar-SA"/>
        </w:rPr>
      </w:pPr>
      <w:r w:rsidRPr="00897312">
        <w:rPr>
          <w:rFonts w:ascii="Times New Roman" w:eastAsia="Times New Roman" w:hAnsi="Times New Roman"/>
          <w:i/>
          <w:sz w:val="28"/>
          <w:szCs w:val="28"/>
          <w:lang w:bidi="ar-SA"/>
        </w:rPr>
        <w:t>In accordance with</w:t>
      </w:r>
    </w:p>
    <w:bookmarkEnd w:id="0"/>
    <w:p w:rsidR="00897312" w:rsidRPr="00897312" w:rsidRDefault="00897312" w:rsidP="00897312">
      <w:pPr>
        <w:widowControl w:val="0"/>
        <w:tabs>
          <w:tab w:val="left" w:pos="90"/>
        </w:tabs>
        <w:autoSpaceDE w:val="0"/>
        <w:autoSpaceDN w:val="0"/>
        <w:adjustRightInd w:val="0"/>
        <w:spacing w:after="4"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Florida Statute 394, Florida Mental Health Act</w:t>
      </w:r>
    </w:p>
    <w:p w:rsidR="00897312" w:rsidRPr="00897312" w:rsidRDefault="00897312" w:rsidP="00897312">
      <w:pPr>
        <w:widowControl w:val="0"/>
        <w:tabs>
          <w:tab w:val="left" w:pos="90"/>
        </w:tabs>
        <w:autoSpaceDE w:val="0"/>
        <w:autoSpaceDN w:val="0"/>
        <w:adjustRightInd w:val="0"/>
        <w:spacing w:after="4"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Florida Statute 397, Hal S. Marchman Alcohol and Other Drug Services Act</w:t>
      </w:r>
    </w:p>
    <w:p w:rsidR="00897312" w:rsidRPr="00897312" w:rsidRDefault="00897312" w:rsidP="00897312">
      <w:pPr>
        <w:widowControl w:val="0"/>
        <w:tabs>
          <w:tab w:val="left" w:pos="90"/>
        </w:tabs>
        <w:autoSpaceDE w:val="0"/>
        <w:autoSpaceDN w:val="0"/>
        <w:adjustRightInd w:val="0"/>
        <w:spacing w:line="535" w:lineRule="exact"/>
        <w:ind w:right="390"/>
        <w:jc w:val="center"/>
        <w:rPr>
          <w:rFonts w:ascii="Times New Roman" w:eastAsia="Times New Roman" w:hAnsi="Times New Roman"/>
          <w:color w:val="000000"/>
          <w:sz w:val="44"/>
          <w:szCs w:val="44"/>
          <w:lang w:bidi="ar-SA"/>
        </w:rPr>
      </w:pPr>
    </w:p>
    <w:p w:rsidR="00897312" w:rsidRPr="00897312" w:rsidRDefault="00897312" w:rsidP="00897312">
      <w:pPr>
        <w:widowControl w:val="0"/>
        <w:tabs>
          <w:tab w:val="left" w:pos="90"/>
        </w:tabs>
        <w:autoSpaceDE w:val="0"/>
        <w:autoSpaceDN w:val="0"/>
        <w:adjustRightInd w:val="0"/>
        <w:spacing w:line="535" w:lineRule="exact"/>
        <w:ind w:right="390"/>
        <w:jc w:val="center"/>
        <w:rPr>
          <w:rFonts w:ascii="Times New Roman" w:eastAsia="Times New Roman" w:hAnsi="Times New Roman"/>
          <w:color w:val="000000"/>
          <w:sz w:val="44"/>
          <w:szCs w:val="44"/>
          <w:lang w:bidi="ar-SA"/>
        </w:rPr>
      </w:pPr>
    </w:p>
    <w:p w:rsidR="00897312" w:rsidRPr="00897312" w:rsidRDefault="00897312" w:rsidP="00897312">
      <w:pPr>
        <w:widowControl w:val="0"/>
        <w:tabs>
          <w:tab w:val="left" w:pos="90"/>
        </w:tabs>
        <w:autoSpaceDE w:val="0"/>
        <w:autoSpaceDN w:val="0"/>
        <w:adjustRightInd w:val="0"/>
        <w:spacing w:after="20" w:line="535" w:lineRule="exact"/>
        <w:jc w:val="center"/>
        <w:rPr>
          <w:rFonts w:ascii="Times New Roman" w:eastAsia="Times New Roman" w:hAnsi="Times New Roman"/>
          <w:color w:val="000000"/>
          <w:sz w:val="44"/>
          <w:szCs w:val="44"/>
          <w:lang w:bidi="ar-SA"/>
        </w:rPr>
      </w:pPr>
      <w:r w:rsidRPr="00897312">
        <w:rPr>
          <w:rFonts w:ascii="Times New Roman" w:eastAsia="Times New Roman" w:hAnsi="Times New Roman"/>
          <w:color w:val="000000"/>
          <w:sz w:val="44"/>
          <w:szCs w:val="44"/>
          <w:lang w:bidi="ar-SA"/>
        </w:rPr>
        <w:t>2017</w:t>
      </w:r>
      <w:r w:rsidRPr="00897312">
        <w:rPr>
          <w:rFonts w:ascii="Times New Roman" w:eastAsia="Times New Roman" w:hAnsi="Times New Roman"/>
          <w:color w:val="000000"/>
          <w:spacing w:val="-3"/>
          <w:sz w:val="44"/>
          <w:szCs w:val="44"/>
          <w:lang w:bidi="ar-SA"/>
        </w:rPr>
        <w:t>-</w:t>
      </w:r>
      <w:r w:rsidRPr="00897312">
        <w:rPr>
          <w:rFonts w:ascii="Times New Roman" w:eastAsia="Times New Roman" w:hAnsi="Times New Roman"/>
          <w:color w:val="000000"/>
          <w:sz w:val="44"/>
          <w:szCs w:val="44"/>
          <w:lang w:bidi="ar-SA"/>
        </w:rPr>
        <w:t>2020</w:t>
      </w: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4F1359" w:rsidRDefault="004F1359" w:rsidP="004F1359">
      <w:pPr>
        <w:jc w:val="center"/>
      </w:pPr>
    </w:p>
    <w:p w:rsidR="00AE0EDA" w:rsidRPr="00897312" w:rsidRDefault="00897312" w:rsidP="004F1359">
      <w:pPr>
        <w:jc w:val="center"/>
        <w:rPr>
          <w:rFonts w:ascii="Times New Roman" w:hAnsi="Times New Roman"/>
          <w:b/>
          <w:sz w:val="28"/>
          <w:szCs w:val="28"/>
        </w:rPr>
      </w:pPr>
      <w:r w:rsidRPr="00897312">
        <w:rPr>
          <w:rFonts w:ascii="Times New Roman" w:hAnsi="Times New Roman"/>
          <w:b/>
          <w:sz w:val="28"/>
          <w:szCs w:val="28"/>
        </w:rPr>
        <w:t>Table of Contents</w:t>
      </w:r>
    </w:p>
    <w:p w:rsidR="00897312" w:rsidRPr="00897312" w:rsidRDefault="00897312" w:rsidP="004F1359">
      <w:pPr>
        <w:jc w:val="center"/>
        <w:rPr>
          <w:rFonts w:ascii="Times New Roman" w:hAnsi="Times New Roman"/>
        </w:rPr>
      </w:pPr>
    </w:p>
    <w:p w:rsidR="00AE0EDA" w:rsidRDefault="00AE0EDA" w:rsidP="004F1359">
      <w:pPr>
        <w:jc w:val="center"/>
      </w:pPr>
    </w:p>
    <w:p w:rsidR="00AE0EDA" w:rsidRDefault="00AE0EDA" w:rsidP="004F1359">
      <w:pPr>
        <w:jc w:val="center"/>
      </w:pPr>
    </w:p>
    <w:p w:rsidR="004F1359" w:rsidRPr="008A7D4E" w:rsidRDefault="004F1359" w:rsidP="004F1359">
      <w:pPr>
        <w:ind w:left="7920" w:firstLine="720"/>
        <w:jc w:val="both"/>
        <w:rPr>
          <w:lang w:val="fr-FR"/>
        </w:rPr>
      </w:pPr>
      <w:r w:rsidRPr="008A7D4E">
        <w:rPr>
          <w:lang w:val="fr-FR"/>
        </w:rPr>
        <w:tab/>
      </w:r>
      <w:r w:rsidRPr="008A7D4E">
        <w:rPr>
          <w:lang w:val="fr-FR"/>
        </w:rPr>
        <w:tab/>
      </w:r>
      <w:r w:rsidRPr="008A7D4E">
        <w:rPr>
          <w:lang w:val="fr-FR"/>
        </w:rPr>
        <w:tab/>
      </w:r>
      <w:r w:rsidRPr="008A7D4E">
        <w:rPr>
          <w:lang w:val="fr-FR"/>
        </w:rPr>
        <w:tab/>
      </w:r>
      <w:r w:rsidRPr="008A7D4E">
        <w:rPr>
          <w:lang w:val="fr-FR"/>
        </w:rPr>
        <w:tab/>
      </w:r>
    </w:p>
    <w:p w:rsidR="004F1359" w:rsidRPr="00897312" w:rsidRDefault="004F1359" w:rsidP="004F1359">
      <w:pPr>
        <w:rPr>
          <w:rFonts w:ascii="Times New Roman" w:hAnsi="Times New Roman"/>
          <w:lang w:val="fr-FR"/>
        </w:rPr>
      </w:pPr>
    </w:p>
    <w:p w:rsidR="004F3065" w:rsidRPr="004F3065" w:rsidRDefault="00CC6B67" w:rsidP="004F3065">
      <w:pPr>
        <w:pStyle w:val="ListParagraph"/>
        <w:numPr>
          <w:ilvl w:val="0"/>
          <w:numId w:val="5"/>
        </w:numPr>
        <w:ind w:left="810"/>
        <w:jc w:val="both"/>
        <w:rPr>
          <w:rFonts w:ascii="Times New Roman" w:hAnsi="Times New Roman"/>
        </w:rPr>
      </w:pPr>
      <w:r w:rsidRPr="004F3065">
        <w:rPr>
          <w:rFonts w:ascii="Times New Roman" w:hAnsi="Times New Roman"/>
        </w:rPr>
        <w:t>Background &amp; Purpose</w:t>
      </w:r>
      <w:r w:rsidRPr="004F3065">
        <w:rPr>
          <w:rFonts w:ascii="Times New Roman" w:hAnsi="Times New Roman"/>
        </w:rPr>
        <w:tab/>
      </w:r>
      <w:r w:rsidRPr="004F3065">
        <w:rPr>
          <w:rFonts w:ascii="Times New Roman" w:hAnsi="Times New Roman"/>
        </w:rPr>
        <w:tab/>
      </w:r>
    </w:p>
    <w:p w:rsidR="004F1359" w:rsidRPr="004F3065" w:rsidRDefault="00CC6B67" w:rsidP="004F3065">
      <w:pPr>
        <w:pStyle w:val="ListParagraph"/>
        <w:ind w:left="1080"/>
        <w:rPr>
          <w:rFonts w:ascii="Times New Roman" w:hAnsi="Times New Roman"/>
        </w:rPr>
      </w:pPr>
      <w:r w:rsidRPr="004F3065">
        <w:rPr>
          <w:rFonts w:ascii="Times New Roman" w:hAnsi="Times New Roman"/>
        </w:rPr>
        <w:tab/>
      </w:r>
      <w:r w:rsidR="003D766F" w:rsidRPr="004F3065">
        <w:rPr>
          <w:rFonts w:ascii="Times New Roman" w:hAnsi="Times New Roman"/>
        </w:rPr>
        <w:tab/>
      </w:r>
      <w:r w:rsidR="003D766F" w:rsidRPr="004F3065">
        <w:rPr>
          <w:rFonts w:ascii="Times New Roman" w:hAnsi="Times New Roman"/>
        </w:rPr>
        <w:tab/>
      </w:r>
      <w:r w:rsidR="003D766F" w:rsidRPr="004F3065">
        <w:rPr>
          <w:rFonts w:ascii="Times New Roman" w:hAnsi="Times New Roman"/>
        </w:rPr>
        <w:tab/>
      </w:r>
      <w:r w:rsidR="003D766F" w:rsidRPr="004F3065">
        <w:rPr>
          <w:rFonts w:ascii="Times New Roman" w:hAnsi="Times New Roman"/>
        </w:rPr>
        <w:tab/>
      </w:r>
      <w:r w:rsidR="003D766F" w:rsidRPr="004F3065">
        <w:rPr>
          <w:rFonts w:ascii="Times New Roman" w:hAnsi="Times New Roman"/>
        </w:rPr>
        <w:tab/>
      </w:r>
    </w:p>
    <w:p w:rsidR="004F1359" w:rsidRPr="00897312" w:rsidRDefault="003D766F" w:rsidP="004F1359">
      <w:pPr>
        <w:rPr>
          <w:rFonts w:ascii="Times New Roman" w:hAnsi="Times New Roman"/>
        </w:rPr>
      </w:pPr>
      <w:r>
        <w:rPr>
          <w:rFonts w:ascii="Times New Roman" w:hAnsi="Times New Roman"/>
        </w:rPr>
        <w:t>II.</w:t>
      </w:r>
      <w:r>
        <w:rPr>
          <w:rFonts w:ascii="Times New Roman" w:hAnsi="Times New Roman"/>
        </w:rPr>
        <w:tab/>
      </w:r>
      <w:r w:rsidR="00CC6B67">
        <w:rPr>
          <w:rFonts w:ascii="Times New Roman" w:hAnsi="Times New Roman"/>
        </w:rPr>
        <w:t xml:space="preserve">XXX County’s </w:t>
      </w:r>
      <w:r w:rsidR="00146758">
        <w:rPr>
          <w:rFonts w:ascii="Times New Roman" w:hAnsi="Times New Roman"/>
        </w:rPr>
        <w:t xml:space="preserve">Behavioral Health Receiving System </w:t>
      </w:r>
    </w:p>
    <w:p w:rsidR="004F1359" w:rsidRPr="00897312" w:rsidRDefault="004F1359" w:rsidP="004F1359">
      <w:pPr>
        <w:rPr>
          <w:rFonts w:ascii="Times New Roman" w:hAnsi="Times New Roman"/>
        </w:rPr>
      </w:pPr>
    </w:p>
    <w:p w:rsidR="003D766F" w:rsidRDefault="003D766F" w:rsidP="004F1359">
      <w:pPr>
        <w:rPr>
          <w:rFonts w:ascii="Times New Roman" w:hAnsi="Times New Roman"/>
        </w:rPr>
      </w:pPr>
      <w:r>
        <w:rPr>
          <w:rFonts w:ascii="Times New Roman" w:hAnsi="Times New Roman"/>
        </w:rPr>
        <w:t>III.</w:t>
      </w:r>
      <w:r>
        <w:rPr>
          <w:rFonts w:ascii="Times New Roman" w:hAnsi="Times New Roman"/>
        </w:rPr>
        <w:tab/>
        <w:t>Inventory of Participating Services Providers</w:t>
      </w:r>
    </w:p>
    <w:p w:rsidR="003D766F" w:rsidRDefault="003D766F" w:rsidP="004F1359">
      <w:pPr>
        <w:rPr>
          <w:rFonts w:ascii="Times New Roman" w:hAnsi="Times New Roman"/>
        </w:rPr>
      </w:pPr>
    </w:p>
    <w:p w:rsidR="004F1359" w:rsidRPr="00897312" w:rsidRDefault="003D766F" w:rsidP="004F1359">
      <w:pPr>
        <w:rPr>
          <w:rFonts w:ascii="Times New Roman" w:hAnsi="Times New Roman"/>
        </w:rPr>
      </w:pPr>
      <w:r>
        <w:rPr>
          <w:rFonts w:ascii="Times New Roman" w:hAnsi="Times New Roman"/>
        </w:rPr>
        <w:t xml:space="preserve">IV. </w:t>
      </w:r>
      <w:r>
        <w:rPr>
          <w:rFonts w:ascii="Times New Roman" w:hAnsi="Times New Roman"/>
        </w:rPr>
        <w:tab/>
      </w:r>
      <w:r w:rsidR="00146758">
        <w:rPr>
          <w:rFonts w:ascii="Times New Roman" w:hAnsi="Times New Roman"/>
        </w:rPr>
        <w:t xml:space="preserve">Behavioral Health Receiving System </w:t>
      </w:r>
      <w:r>
        <w:rPr>
          <w:rFonts w:ascii="Times New Roman" w:hAnsi="Times New Roman"/>
        </w:rPr>
        <w:t>Agreements</w:t>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r>
      <w:r w:rsidR="004F1359" w:rsidRPr="00897312">
        <w:rPr>
          <w:rFonts w:ascii="Times New Roman" w:hAnsi="Times New Roman"/>
        </w:rPr>
        <w:tab/>
        <w:t xml:space="preserve">   </w:t>
      </w:r>
    </w:p>
    <w:p w:rsidR="004F1359" w:rsidRPr="00897312" w:rsidRDefault="004F1359" w:rsidP="004F1359">
      <w:pPr>
        <w:rPr>
          <w:rFonts w:ascii="Times New Roman" w:hAnsi="Times New Roman"/>
        </w:rPr>
      </w:pPr>
    </w:p>
    <w:p w:rsidR="004F1359" w:rsidRPr="00897312" w:rsidRDefault="004F1359" w:rsidP="004F1359">
      <w:pPr>
        <w:rPr>
          <w:rFonts w:ascii="Times New Roman" w:hAnsi="Times New Roman"/>
        </w:rPr>
      </w:pP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r>
      <w:r w:rsidRPr="00897312">
        <w:rPr>
          <w:rFonts w:ascii="Times New Roman" w:hAnsi="Times New Roman"/>
        </w:rPr>
        <w:tab/>
        <w:t xml:space="preserve">                </w:t>
      </w:r>
    </w:p>
    <w:p w:rsidR="004F1359" w:rsidRDefault="004F1359" w:rsidP="004F1359"/>
    <w:p w:rsidR="004F1359" w:rsidRDefault="004F1359" w:rsidP="004F1359">
      <w:r>
        <w:tab/>
      </w:r>
    </w:p>
    <w:p w:rsidR="00897312" w:rsidRDefault="00897312" w:rsidP="00897312">
      <w:pPr>
        <w:rPr>
          <w:rFonts w:ascii="Times New Roman" w:hAnsi="Times New Roman"/>
        </w:rPr>
      </w:pPr>
      <w:r>
        <w:rPr>
          <w:rFonts w:ascii="Times New Roman" w:hAnsi="Times New Roman"/>
        </w:rPr>
        <w:t>Transportation Plan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Attachment A</w:t>
      </w:r>
    </w:p>
    <w:p w:rsidR="004F1359" w:rsidRPr="00897312" w:rsidRDefault="00897312" w:rsidP="00897312">
      <w:pPr>
        <w:rPr>
          <w:rFonts w:ascii="Times New Roman" w:hAnsi="Times New Roman"/>
        </w:rPr>
      </w:pPr>
      <w:r>
        <w:rPr>
          <w:rFonts w:ascii="Times New Roman" w:hAnsi="Times New Roman"/>
        </w:rPr>
        <w:t>Memoranda of Agreement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Attachment B</w:t>
      </w:r>
      <w:r>
        <w:rPr>
          <w:rFonts w:ascii="Times New Roman" w:hAnsi="Times New Roman"/>
        </w:rPr>
        <w:tab/>
      </w:r>
      <w:r>
        <w:rPr>
          <w:rFonts w:ascii="Times New Roman" w:hAnsi="Times New Roman"/>
        </w:rPr>
        <w:tab/>
      </w:r>
      <w:r>
        <w:rPr>
          <w:rFonts w:ascii="Times New Roman" w:hAnsi="Times New Roman"/>
        </w:rPr>
        <w:tab/>
      </w:r>
    </w:p>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Pr="004F1359" w:rsidRDefault="004F1359" w:rsidP="004F1359"/>
    <w:p w:rsidR="004F1359" w:rsidRDefault="004F1359" w:rsidP="004F1359"/>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4F1359" w:rsidRDefault="004F1359"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D655BE" w:rsidRDefault="00D655BE" w:rsidP="004F1359">
      <w:pPr>
        <w:rPr>
          <w:rFonts w:ascii="Times New Roman" w:hAnsi="Times New Roman"/>
          <w:b/>
          <w:sz w:val="22"/>
          <w:szCs w:val="22"/>
          <w:u w:val="single"/>
        </w:rPr>
      </w:pP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b/>
          <w:lang w:bidi="ar-SA"/>
        </w:rPr>
        <w:t xml:space="preserve">I. </w:t>
      </w:r>
      <w:r w:rsidR="00E41A49">
        <w:rPr>
          <w:rFonts w:ascii="Times New Roman" w:eastAsia="Times New Roman" w:hAnsi="Times New Roman"/>
          <w:b/>
          <w:lang w:bidi="ar-SA"/>
        </w:rPr>
        <w:tab/>
      </w:r>
      <w:r w:rsidRPr="00897312">
        <w:rPr>
          <w:rFonts w:ascii="Times New Roman" w:eastAsia="Times New Roman" w:hAnsi="Times New Roman"/>
          <w:b/>
          <w:lang w:bidi="ar-SA"/>
        </w:rPr>
        <w:t>Background/ Purpose:</w:t>
      </w:r>
      <w:r w:rsidRPr="00897312">
        <w:rPr>
          <w:rFonts w:ascii="Times New Roman" w:eastAsia="Times New Roman" w:hAnsi="Times New Roman"/>
          <w:lang w:bidi="ar-SA"/>
        </w:rPr>
        <w:t xml:space="preserve"> </w:t>
      </w: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lang w:bidi="ar-SA"/>
        </w:rPr>
        <w:t xml:space="preserve">In accordance with the changes promulgated by Senate Bill 12 to Florida Statute 394 (Florida Mental Health Act, commonly referred to as the “Baker Act”), and Florida Statute 397 (commonly referred to as the </w:t>
      </w:r>
      <w:proofErr w:type="spellStart"/>
      <w:r w:rsidRPr="00897312">
        <w:rPr>
          <w:rFonts w:ascii="Times New Roman" w:eastAsia="Times New Roman" w:hAnsi="Times New Roman"/>
          <w:lang w:bidi="ar-SA"/>
        </w:rPr>
        <w:t>Marchman</w:t>
      </w:r>
      <w:proofErr w:type="spellEnd"/>
      <w:r w:rsidRPr="00897312">
        <w:rPr>
          <w:rFonts w:ascii="Times New Roman" w:eastAsia="Times New Roman" w:hAnsi="Times New Roman"/>
          <w:lang w:bidi="ar-SA"/>
        </w:rPr>
        <w:t xml:space="preserve"> Act), </w:t>
      </w:r>
      <w:r w:rsidR="00146758" w:rsidRPr="00146758">
        <w:rPr>
          <w:rFonts w:ascii="Times New Roman" w:eastAsia="Times New Roman" w:hAnsi="Times New Roman"/>
          <w:lang w:bidi="ar-SA"/>
        </w:rPr>
        <w:t>Glades County</w:t>
      </w:r>
      <w:r w:rsidRPr="00146758">
        <w:rPr>
          <w:rFonts w:ascii="Times New Roman" w:eastAsia="Times New Roman" w:hAnsi="Times New Roman"/>
          <w:lang w:bidi="ar-SA"/>
        </w:rPr>
        <w:t xml:space="preserve"> </w:t>
      </w:r>
      <w:r w:rsidRPr="00897312">
        <w:rPr>
          <w:rFonts w:ascii="Times New Roman" w:eastAsia="Times New Roman" w:hAnsi="Times New Roman"/>
          <w:lang w:bidi="ar-SA"/>
        </w:rPr>
        <w:t xml:space="preserve">in collaboration with Central Florida Behavioral Health Network (the Managing Entity) </w:t>
      </w:r>
      <w:r>
        <w:rPr>
          <w:rFonts w:ascii="Times New Roman" w:eastAsia="Times New Roman" w:hAnsi="Times New Roman"/>
          <w:lang w:bidi="ar-SA"/>
        </w:rPr>
        <w:t>have completed</w:t>
      </w:r>
      <w:r w:rsidRPr="00897312">
        <w:rPr>
          <w:rFonts w:ascii="Times New Roman" w:eastAsia="Times New Roman" w:hAnsi="Times New Roman"/>
          <w:lang w:bidi="ar-SA"/>
        </w:rPr>
        <w:t xml:space="preserve"> this </w:t>
      </w:r>
      <w:r w:rsidR="00146758">
        <w:rPr>
          <w:rFonts w:ascii="Times New Roman" w:eastAsia="Times New Roman" w:hAnsi="Times New Roman"/>
          <w:lang w:bidi="ar-SA"/>
        </w:rPr>
        <w:t xml:space="preserve">Behavioral Health Receiving System </w:t>
      </w:r>
      <w:r w:rsidR="004F3065">
        <w:rPr>
          <w:rFonts w:ascii="Times New Roman" w:eastAsia="Times New Roman" w:hAnsi="Times New Roman"/>
          <w:lang w:bidi="ar-SA"/>
        </w:rPr>
        <w:t xml:space="preserve"> (</w:t>
      </w:r>
      <w:r w:rsidR="00146758">
        <w:rPr>
          <w:rFonts w:ascii="Times New Roman" w:eastAsia="Times New Roman" w:hAnsi="Times New Roman"/>
          <w:lang w:bidi="ar-SA"/>
        </w:rPr>
        <w:t>BHRS</w:t>
      </w:r>
      <w:r w:rsidR="004F3065">
        <w:rPr>
          <w:rFonts w:ascii="Times New Roman" w:eastAsia="Times New Roman" w:hAnsi="Times New Roman"/>
          <w:lang w:bidi="ar-SA"/>
        </w:rPr>
        <w:t>)</w:t>
      </w:r>
      <w:r w:rsidRPr="00897312">
        <w:rPr>
          <w:rFonts w:ascii="Times New Roman" w:eastAsia="Times New Roman" w:hAnsi="Times New Roman"/>
          <w:lang w:bidi="ar-SA"/>
        </w:rPr>
        <w:t xml:space="preserve"> Plan. </w:t>
      </w:r>
      <w:r>
        <w:rPr>
          <w:rFonts w:ascii="Times New Roman" w:eastAsia="Times New Roman" w:hAnsi="Times New Roman"/>
          <w:lang w:bidi="ar-SA"/>
        </w:rPr>
        <w:t>Implementation</w:t>
      </w:r>
      <w:r w:rsidRPr="00897312">
        <w:rPr>
          <w:rFonts w:ascii="Times New Roman" w:eastAsia="Times New Roman" w:hAnsi="Times New Roman"/>
          <w:lang w:bidi="ar-SA"/>
        </w:rPr>
        <w:t xml:space="preserve"> of this plan </w:t>
      </w:r>
      <w:r>
        <w:rPr>
          <w:rFonts w:ascii="Times New Roman" w:eastAsia="Times New Roman" w:hAnsi="Times New Roman"/>
          <w:lang w:bidi="ar-SA"/>
        </w:rPr>
        <w:t>assures the coordinated</w:t>
      </w:r>
      <w:r w:rsidRPr="00897312">
        <w:rPr>
          <w:rFonts w:ascii="Times New Roman" w:eastAsia="Times New Roman" w:hAnsi="Times New Roman"/>
          <w:lang w:bidi="ar-SA"/>
        </w:rPr>
        <w:t xml:space="preserve"> provision of emergency services for people in need of help for behavioral health disorders and supports a comprehensive </w:t>
      </w:r>
      <w:r>
        <w:rPr>
          <w:rFonts w:ascii="Times New Roman" w:eastAsia="Times New Roman" w:hAnsi="Times New Roman"/>
          <w:lang w:bidi="ar-SA"/>
        </w:rPr>
        <w:t>behavioral system of</w:t>
      </w:r>
      <w:r w:rsidRPr="00897312">
        <w:rPr>
          <w:rFonts w:ascii="Times New Roman" w:eastAsia="Times New Roman" w:hAnsi="Times New Roman"/>
          <w:lang w:bidi="ar-SA"/>
        </w:rPr>
        <w:t xml:space="preserve"> care.</w:t>
      </w:r>
    </w:p>
    <w:p w:rsidR="00897312" w:rsidRPr="00897312" w:rsidRDefault="00897312" w:rsidP="00897312">
      <w:pPr>
        <w:rPr>
          <w:rFonts w:ascii="Times New Roman" w:eastAsia="Times New Roman" w:hAnsi="Times New Roman"/>
          <w:lang w:bidi="ar-SA"/>
        </w:rPr>
      </w:pPr>
    </w:p>
    <w:p w:rsidR="00897312" w:rsidRPr="00897312" w:rsidRDefault="00897312" w:rsidP="00897312">
      <w:pPr>
        <w:rPr>
          <w:rFonts w:ascii="Times New Roman" w:eastAsia="Times New Roman" w:hAnsi="Times New Roman"/>
          <w:lang w:bidi="ar-SA"/>
        </w:rPr>
      </w:pPr>
      <w:r w:rsidRPr="00897312">
        <w:rPr>
          <w:rFonts w:ascii="Times New Roman" w:eastAsia="Times New Roman" w:hAnsi="Times New Roman"/>
          <w:lang w:bidi="ar-SA"/>
        </w:rPr>
        <w:t xml:space="preserve">This </w:t>
      </w:r>
      <w:r w:rsidR="00146758">
        <w:rPr>
          <w:rFonts w:ascii="Times New Roman" w:eastAsia="Times New Roman" w:hAnsi="Times New Roman"/>
          <w:lang w:bidi="ar-SA"/>
        </w:rPr>
        <w:t xml:space="preserve">BHRS </w:t>
      </w:r>
      <w:r w:rsidRPr="00897312">
        <w:rPr>
          <w:rFonts w:ascii="Times New Roman" w:eastAsia="Times New Roman" w:hAnsi="Times New Roman"/>
          <w:lang w:bidi="ar-SA"/>
        </w:rPr>
        <w:t xml:space="preserve">Plan describes how the community shall </w:t>
      </w:r>
      <w:r w:rsidR="00CC6B67">
        <w:rPr>
          <w:rFonts w:ascii="Times New Roman" w:eastAsia="Times New Roman" w:hAnsi="Times New Roman"/>
          <w:lang w:bidi="ar-SA"/>
        </w:rPr>
        <w:t>ensure the provision of the “No Wrong Door Model” defined in FS 394.4573</w:t>
      </w:r>
      <w:r w:rsidRPr="00897312">
        <w:rPr>
          <w:rFonts w:ascii="Times New Roman" w:eastAsia="Times New Roman" w:hAnsi="Times New Roman"/>
          <w:lang w:bidi="ar-SA"/>
        </w:rPr>
        <w:t xml:space="preserve">. This </w:t>
      </w:r>
      <w:r w:rsidR="00CC6B67">
        <w:rPr>
          <w:rFonts w:ascii="Times New Roman" w:eastAsia="Times New Roman" w:hAnsi="Times New Roman"/>
          <w:lang w:bidi="ar-SA"/>
        </w:rPr>
        <w:t xml:space="preserve">description </w:t>
      </w:r>
      <w:r w:rsidRPr="00897312">
        <w:rPr>
          <w:rFonts w:ascii="Times New Roman" w:eastAsia="Times New Roman" w:hAnsi="Times New Roman"/>
          <w:lang w:bidi="ar-SA"/>
        </w:rPr>
        <w:t>includes</w:t>
      </w:r>
      <w:r w:rsidR="00CC6B67">
        <w:rPr>
          <w:rFonts w:ascii="Times New Roman" w:eastAsia="Times New Roman" w:hAnsi="Times New Roman"/>
          <w:lang w:bidi="ar-SA"/>
        </w:rPr>
        <w:t xml:space="preserve"> the organization of</w:t>
      </w:r>
      <w:r w:rsidR="004F3065">
        <w:rPr>
          <w:rFonts w:ascii="Times New Roman" w:eastAsia="Times New Roman" w:hAnsi="Times New Roman"/>
          <w:lang w:bidi="ar-SA"/>
        </w:rPr>
        <w:t xml:space="preserve"> the </w:t>
      </w:r>
      <w:r w:rsidR="00146758">
        <w:rPr>
          <w:rFonts w:ascii="Times New Roman" w:eastAsia="Times New Roman" w:hAnsi="Times New Roman"/>
          <w:lang w:bidi="ar-SA"/>
        </w:rPr>
        <w:t xml:space="preserve">BHRS </w:t>
      </w:r>
      <w:r w:rsidR="00CC6B67">
        <w:rPr>
          <w:rFonts w:ascii="Times New Roman" w:eastAsia="Times New Roman" w:hAnsi="Times New Roman"/>
          <w:lang w:bidi="ar-SA"/>
        </w:rPr>
        <w:t>and how it responds to individual needs and integrates services among various providers.</w:t>
      </w:r>
      <w:r w:rsidRPr="00897312">
        <w:rPr>
          <w:rFonts w:ascii="Times New Roman" w:eastAsia="Times New Roman" w:hAnsi="Times New Roman"/>
          <w:lang w:bidi="ar-SA"/>
        </w:rPr>
        <w:t xml:space="preserve"> </w:t>
      </w:r>
    </w:p>
    <w:p w:rsidR="00C72722" w:rsidRDefault="00C72722" w:rsidP="0037292F"/>
    <w:p w:rsidR="00AE0EDA" w:rsidRPr="00CC6B67" w:rsidRDefault="00CC6B67" w:rsidP="00CC6B67">
      <w:pPr>
        <w:rPr>
          <w:rFonts w:ascii="Times New Roman" w:hAnsi="Times New Roman"/>
        </w:rPr>
      </w:pPr>
      <w:r w:rsidRPr="00CC6B67">
        <w:rPr>
          <w:rFonts w:ascii="Times New Roman" w:hAnsi="Times New Roman"/>
        </w:rPr>
        <w:t xml:space="preserve">The </w:t>
      </w:r>
      <w:r w:rsidR="00146758">
        <w:rPr>
          <w:rFonts w:ascii="Times New Roman" w:hAnsi="Times New Roman"/>
        </w:rPr>
        <w:t xml:space="preserve">Behavioral Health Receiving System </w:t>
      </w:r>
      <w:r w:rsidRPr="00CC6B67">
        <w:rPr>
          <w:rFonts w:ascii="Times New Roman" w:hAnsi="Times New Roman"/>
        </w:rPr>
        <w:t>may be organized in any manner which functions as a no-wrong-door model. Such models include, but are not limited to:</w:t>
      </w:r>
      <w:r w:rsidR="00C72722" w:rsidRPr="00CC6B67">
        <w:rPr>
          <w:rFonts w:ascii="Times New Roman" w:hAnsi="Times New Roman"/>
        </w:rPr>
        <w:t xml:space="preserve"> </w:t>
      </w:r>
    </w:p>
    <w:p w:rsidR="00CC6B67" w:rsidRPr="00CC6B67" w:rsidRDefault="00CC6B67" w:rsidP="00CC6B67">
      <w:pPr>
        <w:rPr>
          <w:rFonts w:ascii="Times New Roman" w:hAnsi="Times New Roman"/>
        </w:rPr>
      </w:pPr>
    </w:p>
    <w:p w:rsidR="00AE0EDA" w:rsidRPr="00CC6B67" w:rsidRDefault="00AE0EDA" w:rsidP="00CC6B67">
      <w:pPr>
        <w:pStyle w:val="ListParagraph"/>
        <w:jc w:val="both"/>
        <w:rPr>
          <w:rFonts w:ascii="Times New Roman" w:hAnsi="Times New Roman"/>
        </w:rPr>
      </w:pPr>
      <w:r w:rsidRPr="00CC6B67">
        <w:rPr>
          <w:rFonts w:ascii="Times New Roman" w:hAnsi="Times New Roman"/>
        </w:rPr>
        <w:t xml:space="preserve">A </w:t>
      </w:r>
      <w:r w:rsidRPr="00CC6B67">
        <w:rPr>
          <w:rFonts w:ascii="Times New Roman" w:hAnsi="Times New Roman"/>
          <w:b/>
        </w:rPr>
        <w:t xml:space="preserve">central receiving system </w:t>
      </w:r>
      <w:r w:rsidRPr="00CC6B67">
        <w:rPr>
          <w:rFonts w:ascii="Times New Roman" w:hAnsi="Times New Roman"/>
        </w:rPr>
        <w:t>is identified as a system that consists of a designated central receiving facility that serves as a single entry point for persons with mental health or substance use disorders, or co-occurring disorders. The central receiving facility shall be capable of assessment, evaluation, and triage or treatment or stabilization of persons with mental health or substance use disorders, or co-occurring disorders.</w:t>
      </w:r>
    </w:p>
    <w:p w:rsidR="00AE0EDA" w:rsidRPr="00CC6B67" w:rsidRDefault="00AE0EDA" w:rsidP="00AE0EDA">
      <w:pPr>
        <w:pStyle w:val="ListParagraph"/>
        <w:ind w:left="0"/>
        <w:jc w:val="both"/>
        <w:rPr>
          <w:rFonts w:ascii="Times New Roman" w:hAnsi="Times New Roman"/>
        </w:rPr>
      </w:pPr>
    </w:p>
    <w:p w:rsidR="003C2704" w:rsidRPr="00CC6B67" w:rsidRDefault="00AE0EDA" w:rsidP="00CC6B67">
      <w:pPr>
        <w:spacing w:after="160" w:line="259" w:lineRule="auto"/>
        <w:ind w:left="720"/>
        <w:rPr>
          <w:rFonts w:ascii="Times New Roman" w:hAnsi="Times New Roman"/>
        </w:rPr>
      </w:pPr>
      <w:r w:rsidRPr="00CC6B67">
        <w:rPr>
          <w:rFonts w:ascii="Times New Roman" w:eastAsiaTheme="minorHAnsi" w:hAnsi="Times New Roman"/>
          <w:lang w:bidi="ar-SA"/>
        </w:rPr>
        <w:t xml:space="preserve">A </w:t>
      </w:r>
      <w:r w:rsidRPr="00CC6B67">
        <w:rPr>
          <w:rFonts w:ascii="Times New Roman" w:eastAsiaTheme="minorHAnsi" w:hAnsi="Times New Roman"/>
          <w:b/>
          <w:lang w:bidi="ar-SA"/>
        </w:rPr>
        <w:t>coordinated receiving system</w:t>
      </w:r>
      <w:r w:rsidRPr="00CC6B67">
        <w:rPr>
          <w:rFonts w:ascii="Times New Roman" w:eastAsiaTheme="minorHAnsi" w:hAnsi="Times New Roman"/>
          <w:lang w:bidi="ar-SA"/>
        </w:rPr>
        <w:t xml:space="preserve"> as a system that consists of multiple entry points that are linked by shared data systems, formal referral agreements, and cooperative arrangements for care coordination and case management. Each entry point shall be a designated receiving facility and shall, within existing resources, provide or arrange for necessary services following an initial assessment and evaluation.</w:t>
      </w:r>
      <w:r w:rsidR="003C2704" w:rsidRPr="00CC6B67">
        <w:rPr>
          <w:rFonts w:ascii="Times New Roman" w:hAnsi="Times New Roman"/>
        </w:rPr>
        <w:t xml:space="preserve"> </w:t>
      </w:r>
    </w:p>
    <w:p w:rsidR="00D655BE" w:rsidRPr="00CC6B67" w:rsidRDefault="003C2704" w:rsidP="00CC6B67">
      <w:pPr>
        <w:spacing w:after="160" w:line="259" w:lineRule="auto"/>
        <w:ind w:left="720"/>
        <w:rPr>
          <w:rFonts w:ascii="Times New Roman" w:eastAsiaTheme="minorHAnsi" w:hAnsi="Times New Roman"/>
          <w:lang w:bidi="ar-SA"/>
        </w:rPr>
      </w:pPr>
      <w:r w:rsidRPr="00CC6B67">
        <w:rPr>
          <w:rFonts w:ascii="Times New Roman" w:hAnsi="Times New Roman"/>
        </w:rPr>
        <w:t xml:space="preserve">A </w:t>
      </w:r>
      <w:r w:rsidRPr="00CC6B67">
        <w:rPr>
          <w:rFonts w:ascii="Times New Roman" w:hAnsi="Times New Roman"/>
          <w:b/>
        </w:rPr>
        <w:t>tiered receiving system</w:t>
      </w:r>
      <w:r w:rsidRPr="00CC6B67">
        <w:rPr>
          <w:rFonts w:ascii="Times New Roman" w:hAnsi="Times New Roman"/>
        </w:rPr>
        <w:t xml:space="preserve"> consists of multiple entry points, some of which offer only specialized or limited services. Each service provider shall be classified according to its capabilities as either a designated receiving facility or another type of service provider, such as a triage center, a licensed detoxification facility, or an access center. All participating service providers shall, within existing resources, be linked by methods to share data, formal referral agreements, and cooperative arrangements for care coordination and case management</w:t>
      </w:r>
      <w:r w:rsidR="00CC6B67" w:rsidRPr="00CC6B67">
        <w:rPr>
          <w:rFonts w:ascii="Times New Roman" w:hAnsi="Times New Roman"/>
        </w:rPr>
        <w:t>.</w:t>
      </w:r>
    </w:p>
    <w:p w:rsidR="00D46B32" w:rsidRPr="00CC6B67" w:rsidRDefault="00D46B32" w:rsidP="00D46B32">
      <w:pPr>
        <w:spacing w:after="160" w:line="259" w:lineRule="auto"/>
        <w:rPr>
          <w:rFonts w:ascii="Times New Roman" w:eastAsiaTheme="minorHAnsi" w:hAnsi="Times New Roman"/>
          <w:lang w:bidi="ar-SA"/>
        </w:rPr>
      </w:pPr>
      <w:r w:rsidRPr="00CC6B67">
        <w:rPr>
          <w:rFonts w:ascii="Times New Roman" w:eastAsiaTheme="minorHAnsi" w:hAnsi="Times New Roman"/>
          <w:lang w:bidi="ar-SA"/>
        </w:rPr>
        <w:t xml:space="preserve">OR </w:t>
      </w:r>
    </w:p>
    <w:p w:rsidR="00D46B32" w:rsidRPr="00CC6B67" w:rsidRDefault="00CC6B67" w:rsidP="00D46B32">
      <w:pPr>
        <w:spacing w:after="160" w:line="259" w:lineRule="auto"/>
        <w:rPr>
          <w:rFonts w:ascii="Times New Roman" w:eastAsiaTheme="minorHAnsi" w:hAnsi="Times New Roman"/>
          <w:b/>
          <w:lang w:bidi="ar-SA"/>
        </w:rPr>
      </w:pPr>
      <w:r w:rsidRPr="00CC6B67">
        <w:rPr>
          <w:rFonts w:ascii="Times New Roman" w:eastAsiaTheme="minorHAnsi" w:hAnsi="Times New Roman"/>
          <w:lang w:bidi="ar-SA"/>
        </w:rPr>
        <w:t xml:space="preserve">The </w:t>
      </w:r>
      <w:r w:rsidR="00146758">
        <w:rPr>
          <w:rFonts w:ascii="Times New Roman" w:eastAsiaTheme="minorHAnsi" w:hAnsi="Times New Roman"/>
          <w:lang w:bidi="ar-SA"/>
        </w:rPr>
        <w:t xml:space="preserve">BHRS </w:t>
      </w:r>
      <w:r w:rsidR="00D46B32" w:rsidRPr="00CC6B67">
        <w:rPr>
          <w:rFonts w:ascii="Times New Roman" w:eastAsiaTheme="minorHAnsi" w:hAnsi="Times New Roman"/>
          <w:lang w:bidi="ar-SA"/>
        </w:rPr>
        <w:t xml:space="preserve">may be organized in </w:t>
      </w:r>
      <w:r w:rsidR="00D46B32" w:rsidRPr="00CC6B67">
        <w:rPr>
          <w:rFonts w:ascii="Times New Roman" w:eastAsiaTheme="minorHAnsi" w:hAnsi="Times New Roman"/>
          <w:b/>
          <w:lang w:bidi="ar-SA"/>
        </w:rPr>
        <w:t xml:space="preserve">any manner that functions as a No-Wrong-Door Model that responds to individual needs and integrates the services of various providers. </w:t>
      </w:r>
    </w:p>
    <w:p w:rsidR="006943EF" w:rsidRDefault="006943EF" w:rsidP="006943EF">
      <w:pPr>
        <w:spacing w:after="160" w:line="259" w:lineRule="auto"/>
        <w:rPr>
          <w:rFonts w:ascii="Times New Roman" w:eastAsiaTheme="minorHAnsi" w:hAnsi="Times New Roman"/>
          <w:lang w:bidi="ar-SA"/>
        </w:rPr>
      </w:pPr>
    </w:p>
    <w:p w:rsidR="004F3065" w:rsidRDefault="004F3065" w:rsidP="006943EF">
      <w:pPr>
        <w:spacing w:after="160" w:line="259" w:lineRule="auto"/>
        <w:rPr>
          <w:rFonts w:ascii="Times New Roman" w:eastAsiaTheme="minorHAnsi" w:hAnsi="Times New Roman"/>
          <w:lang w:bidi="ar-SA"/>
        </w:rPr>
      </w:pPr>
    </w:p>
    <w:p w:rsidR="004F3065" w:rsidRDefault="004F3065" w:rsidP="006943EF">
      <w:pPr>
        <w:spacing w:after="160" w:line="259" w:lineRule="auto"/>
        <w:rPr>
          <w:rFonts w:ascii="Times New Roman" w:eastAsiaTheme="minorHAnsi" w:hAnsi="Times New Roman"/>
          <w:lang w:bidi="ar-SA"/>
        </w:rPr>
      </w:pPr>
    </w:p>
    <w:p w:rsidR="00E41A49" w:rsidRPr="006943EF" w:rsidRDefault="006943EF" w:rsidP="006943EF">
      <w:pPr>
        <w:spacing w:after="160" w:line="259" w:lineRule="auto"/>
        <w:rPr>
          <w:rFonts w:ascii="Times New Roman" w:eastAsiaTheme="minorHAnsi" w:hAnsi="Times New Roman"/>
          <w:lang w:bidi="ar-SA"/>
        </w:rPr>
      </w:pPr>
      <w:r w:rsidRPr="006943EF">
        <w:rPr>
          <w:rFonts w:ascii="Times New Roman" w:eastAsiaTheme="minorHAnsi" w:hAnsi="Times New Roman"/>
          <w:lang w:bidi="ar-SA"/>
        </w:rPr>
        <w:t xml:space="preserve">The County and the Managing Entity shall review and update, as necessary, the </w:t>
      </w:r>
      <w:r w:rsidR="00146758">
        <w:rPr>
          <w:rFonts w:ascii="Times New Roman" w:eastAsiaTheme="minorHAnsi" w:hAnsi="Times New Roman"/>
          <w:lang w:bidi="ar-SA"/>
        </w:rPr>
        <w:t xml:space="preserve">Behavioral Health Receiving System </w:t>
      </w:r>
      <w:r w:rsidRPr="006943EF">
        <w:rPr>
          <w:rFonts w:ascii="Times New Roman" w:eastAsiaTheme="minorHAnsi" w:hAnsi="Times New Roman"/>
          <w:lang w:bidi="ar-SA"/>
        </w:rPr>
        <w:t>at least once every 3 years.</w:t>
      </w:r>
      <w:r>
        <w:rPr>
          <w:rFonts w:ascii="Times New Roman" w:eastAsiaTheme="minorHAnsi" w:hAnsi="Times New Roman"/>
          <w:lang w:bidi="ar-SA"/>
        </w:rPr>
        <w:t xml:space="preserve"> An accurate inventory of the participating service providers shall be maintained and made available at all times to all firs responders in the service area.</w:t>
      </w:r>
    </w:p>
    <w:p w:rsidR="008A5CB3" w:rsidRDefault="00E41A49" w:rsidP="008A5CB3">
      <w:pPr>
        <w:spacing w:after="160" w:line="259" w:lineRule="auto"/>
        <w:rPr>
          <w:rFonts w:ascii="Times New Roman" w:eastAsiaTheme="minorHAnsi" w:hAnsi="Times New Roman"/>
          <w:b/>
          <w:lang w:bidi="ar-SA"/>
        </w:rPr>
      </w:pPr>
      <w:r w:rsidRPr="00E41A49">
        <w:rPr>
          <w:rFonts w:ascii="Times New Roman" w:eastAsiaTheme="minorHAnsi" w:hAnsi="Times New Roman"/>
          <w:b/>
          <w:lang w:bidi="ar-SA"/>
        </w:rPr>
        <w:t>II</w:t>
      </w:r>
      <w:r>
        <w:rPr>
          <w:rFonts w:ascii="Times New Roman" w:eastAsiaTheme="minorHAnsi" w:hAnsi="Times New Roman"/>
          <w:b/>
          <w:lang w:bidi="ar-SA"/>
        </w:rPr>
        <w:t>.</w:t>
      </w:r>
      <w:r>
        <w:rPr>
          <w:rFonts w:ascii="Times New Roman" w:eastAsiaTheme="minorHAnsi" w:hAnsi="Times New Roman"/>
          <w:b/>
          <w:lang w:bidi="ar-SA"/>
        </w:rPr>
        <w:tab/>
      </w:r>
      <w:r w:rsidR="00146758">
        <w:rPr>
          <w:rFonts w:ascii="Times New Roman" w:eastAsiaTheme="minorHAnsi" w:hAnsi="Times New Roman"/>
          <w:b/>
          <w:lang w:bidi="ar-SA"/>
        </w:rPr>
        <w:t>Glades</w:t>
      </w:r>
      <w:r w:rsidRPr="00E41A49">
        <w:rPr>
          <w:rFonts w:ascii="Times New Roman" w:eastAsiaTheme="minorHAnsi" w:hAnsi="Times New Roman"/>
          <w:b/>
          <w:lang w:bidi="ar-SA"/>
        </w:rPr>
        <w:t xml:space="preserve"> County’s </w:t>
      </w:r>
      <w:r w:rsidR="00146758">
        <w:rPr>
          <w:rFonts w:ascii="Times New Roman" w:eastAsiaTheme="minorHAnsi" w:hAnsi="Times New Roman"/>
          <w:b/>
          <w:lang w:bidi="ar-SA"/>
        </w:rPr>
        <w:t xml:space="preserve">Behavioral Health Receiving </w:t>
      </w:r>
      <w:proofErr w:type="gramStart"/>
      <w:r w:rsidR="00146758">
        <w:rPr>
          <w:rFonts w:ascii="Times New Roman" w:eastAsiaTheme="minorHAnsi" w:hAnsi="Times New Roman"/>
          <w:b/>
          <w:lang w:bidi="ar-SA"/>
        </w:rPr>
        <w:t xml:space="preserve">System </w:t>
      </w:r>
      <w:r w:rsidR="004F3065">
        <w:rPr>
          <w:rFonts w:ascii="Times New Roman" w:eastAsiaTheme="minorHAnsi" w:hAnsi="Times New Roman"/>
          <w:b/>
          <w:lang w:bidi="ar-SA"/>
        </w:rPr>
        <w:t xml:space="preserve"> (</w:t>
      </w:r>
      <w:proofErr w:type="gramEnd"/>
      <w:r w:rsidR="00146758">
        <w:rPr>
          <w:rFonts w:ascii="Times New Roman" w:eastAsiaTheme="minorHAnsi" w:hAnsi="Times New Roman"/>
          <w:b/>
          <w:lang w:bidi="ar-SA"/>
        </w:rPr>
        <w:t>BHRS</w:t>
      </w:r>
      <w:r w:rsidR="004F3065">
        <w:rPr>
          <w:rFonts w:ascii="Times New Roman" w:eastAsiaTheme="minorHAnsi" w:hAnsi="Times New Roman"/>
          <w:b/>
          <w:lang w:bidi="ar-SA"/>
        </w:rPr>
        <w:t xml:space="preserve">) </w:t>
      </w:r>
    </w:p>
    <w:p w:rsidR="00E41A49" w:rsidRDefault="00146758" w:rsidP="008A5CB3">
      <w:pPr>
        <w:spacing w:after="160" w:line="259" w:lineRule="auto"/>
        <w:rPr>
          <w:rFonts w:ascii="Times New Roman" w:eastAsiaTheme="minorHAnsi" w:hAnsi="Times New Roman"/>
          <w:lang w:bidi="ar-SA"/>
        </w:rPr>
      </w:pPr>
      <w:r w:rsidRPr="00146758">
        <w:rPr>
          <w:rFonts w:ascii="Times New Roman" w:eastAsiaTheme="minorHAnsi" w:hAnsi="Times New Roman"/>
          <w:lang w:bidi="ar-SA"/>
        </w:rPr>
        <w:t>Glades</w:t>
      </w:r>
      <w:r w:rsidR="00E41A49">
        <w:rPr>
          <w:rFonts w:ascii="Times New Roman" w:eastAsiaTheme="minorHAnsi" w:hAnsi="Times New Roman"/>
          <w:lang w:bidi="ar-SA"/>
        </w:rPr>
        <w:t xml:space="preserve"> County’s </w:t>
      </w:r>
      <w:r>
        <w:rPr>
          <w:rFonts w:ascii="Times New Roman" w:eastAsiaTheme="minorHAnsi" w:hAnsi="Times New Roman"/>
          <w:lang w:bidi="ar-SA"/>
        </w:rPr>
        <w:t>Behavioral Health Receiving System</w:t>
      </w:r>
      <w:r w:rsidR="00E41A49">
        <w:rPr>
          <w:rFonts w:ascii="Times New Roman" w:eastAsiaTheme="minorHAnsi" w:hAnsi="Times New Roman"/>
          <w:lang w:bidi="ar-SA"/>
        </w:rPr>
        <w:t xml:space="preserve"> is best described as a </w:t>
      </w:r>
      <w:r>
        <w:rPr>
          <w:rFonts w:ascii="Times New Roman" w:eastAsiaTheme="minorHAnsi" w:hAnsi="Times New Roman"/>
          <w:lang w:bidi="ar-SA"/>
        </w:rPr>
        <w:t>t</w:t>
      </w:r>
      <w:r w:rsidR="00E41A49">
        <w:rPr>
          <w:rFonts w:ascii="Times New Roman" w:eastAsiaTheme="minorHAnsi" w:hAnsi="Times New Roman"/>
          <w:lang w:bidi="ar-SA"/>
        </w:rPr>
        <w:t xml:space="preserve">iered receiving system. </w:t>
      </w:r>
    </w:p>
    <w:p w:rsidR="00146758" w:rsidRDefault="00146758" w:rsidP="00146758">
      <w:pPr>
        <w:rPr>
          <w:rFonts w:ascii="Arial" w:hAnsi="Arial" w:cs="Arial"/>
          <w:sz w:val="22"/>
          <w:szCs w:val="22"/>
        </w:rPr>
      </w:pPr>
      <w:r w:rsidRPr="00800238">
        <w:rPr>
          <w:rFonts w:ascii="Times New Roman" w:hAnsi="Times New Roman"/>
        </w:rPr>
        <w:t xml:space="preserve">The </w:t>
      </w:r>
      <w:r>
        <w:rPr>
          <w:rFonts w:ascii="Times New Roman" w:hAnsi="Times New Roman"/>
        </w:rPr>
        <w:t xml:space="preserve">Glades </w:t>
      </w:r>
      <w:r>
        <w:rPr>
          <w:rFonts w:ascii="Times New Roman" w:hAnsi="Times New Roman"/>
        </w:rPr>
        <w:t>Ad Hoc</w:t>
      </w:r>
      <w:r w:rsidRPr="00800238">
        <w:rPr>
          <w:rFonts w:ascii="Times New Roman" w:hAnsi="Times New Roman"/>
        </w:rPr>
        <w:t xml:space="preserve"> Committee is to discuss the operations of the </w:t>
      </w:r>
      <w:r>
        <w:rPr>
          <w:rFonts w:ascii="Times New Roman" w:hAnsi="Times New Roman"/>
        </w:rPr>
        <w:t>Glades</w:t>
      </w:r>
      <w:r w:rsidRPr="00800238">
        <w:rPr>
          <w:rFonts w:ascii="Times New Roman" w:hAnsi="Times New Roman"/>
        </w:rPr>
        <w:t xml:space="preserve"> County </w:t>
      </w:r>
      <w:r>
        <w:rPr>
          <w:rFonts w:ascii="Times New Roman" w:hAnsi="Times New Roman"/>
        </w:rPr>
        <w:t xml:space="preserve">BHRS </w:t>
      </w:r>
      <w:r w:rsidRPr="00800238">
        <w:rPr>
          <w:rFonts w:ascii="Times New Roman" w:hAnsi="Times New Roman"/>
        </w:rPr>
        <w:t xml:space="preserve">Plan. The committee </w:t>
      </w:r>
      <w:r>
        <w:rPr>
          <w:rFonts w:ascii="Times New Roman" w:hAnsi="Times New Roman"/>
        </w:rPr>
        <w:t>will meet at least 2 times per year</w:t>
      </w:r>
      <w:r w:rsidRPr="00800238">
        <w:rPr>
          <w:rFonts w:ascii="Times New Roman" w:hAnsi="Times New Roman"/>
        </w:rPr>
        <w:t xml:space="preserve"> to discuss grievances, public satisfaction, and assurance of patient rights as related to this plan. The Committee is</w:t>
      </w:r>
      <w:r>
        <w:rPr>
          <w:rFonts w:ascii="Times New Roman" w:hAnsi="Times New Roman"/>
        </w:rPr>
        <w:t xml:space="preserve"> to be</w:t>
      </w:r>
      <w:r w:rsidRPr="00800238">
        <w:rPr>
          <w:rFonts w:ascii="Times New Roman" w:hAnsi="Times New Roman"/>
        </w:rPr>
        <w:t xml:space="preserve"> composed of, but not limited to, </w:t>
      </w:r>
      <w:r w:rsidRPr="005647A7">
        <w:rPr>
          <w:rFonts w:ascii="Times New Roman" w:hAnsi="Times New Roman"/>
        </w:rPr>
        <w:t>representatives of the following agencies: Depar</w:t>
      </w:r>
      <w:r>
        <w:rPr>
          <w:rFonts w:ascii="Times New Roman" w:hAnsi="Times New Roman"/>
        </w:rPr>
        <w:t xml:space="preserve">tment of Children and Families, </w:t>
      </w:r>
      <w:r w:rsidRPr="005647A7">
        <w:rPr>
          <w:rFonts w:ascii="Times New Roman" w:hAnsi="Times New Roman"/>
        </w:rPr>
        <w:t xml:space="preserve">Glades County Community/Neighborhood Services Department, Central Florida Behavioral Health Network, </w:t>
      </w:r>
      <w:proofErr w:type="spellStart"/>
      <w:r w:rsidRPr="005647A7">
        <w:rPr>
          <w:rFonts w:ascii="Times New Roman" w:hAnsi="Times New Roman"/>
        </w:rPr>
        <w:t>Jermone</w:t>
      </w:r>
      <w:proofErr w:type="spellEnd"/>
      <w:r w:rsidRPr="005647A7">
        <w:rPr>
          <w:rFonts w:ascii="Times New Roman" w:hAnsi="Times New Roman"/>
        </w:rPr>
        <w:t xml:space="preserve"> Golden Center, </w:t>
      </w:r>
      <w:r w:rsidRPr="000C7EF9">
        <w:rPr>
          <w:rFonts w:ascii="Times New Roman" w:hAnsi="Times New Roman"/>
        </w:rPr>
        <w:t xml:space="preserve">Crossroads, </w:t>
      </w:r>
      <w:r w:rsidRPr="005647A7">
        <w:rPr>
          <w:rFonts w:ascii="Times New Roman" w:hAnsi="Times New Roman"/>
        </w:rPr>
        <w:t>Glades County Sheriff Office, Glades County Schools, Department of Health of Glades County, NAMI, Department of Corrections, EMS, etc.</w:t>
      </w:r>
      <w:r w:rsidRPr="000B25DA">
        <w:rPr>
          <w:rFonts w:ascii="Arial" w:hAnsi="Arial" w:cs="Arial"/>
          <w:sz w:val="22"/>
          <w:szCs w:val="22"/>
        </w:rPr>
        <w:t xml:space="preserve"> </w:t>
      </w:r>
    </w:p>
    <w:p w:rsidR="00146758" w:rsidRPr="000B25DA" w:rsidRDefault="00146758" w:rsidP="00146758">
      <w:pPr>
        <w:rPr>
          <w:rFonts w:ascii="Arial" w:hAnsi="Arial" w:cs="Arial"/>
          <w:sz w:val="22"/>
          <w:szCs w:val="22"/>
        </w:rPr>
      </w:pPr>
    </w:p>
    <w:p w:rsidR="00E41A49" w:rsidRPr="00E41A49" w:rsidRDefault="00E41A49" w:rsidP="008A5CB3">
      <w:pPr>
        <w:spacing w:after="160" w:line="259" w:lineRule="auto"/>
        <w:rPr>
          <w:rFonts w:ascii="Times New Roman" w:eastAsiaTheme="minorHAnsi" w:hAnsi="Times New Roman"/>
          <w:color w:val="7030A0"/>
          <w:lang w:bidi="ar-SA"/>
        </w:rPr>
      </w:pPr>
    </w:p>
    <w:p w:rsidR="00272E10" w:rsidRPr="00B46B92" w:rsidRDefault="003D766F" w:rsidP="00272E10">
      <w:pPr>
        <w:spacing w:after="160" w:line="259" w:lineRule="auto"/>
        <w:rPr>
          <w:rFonts w:ascii="Times New Roman" w:eastAsiaTheme="minorHAnsi" w:hAnsi="Times New Roman"/>
          <w:b/>
          <w:lang w:bidi="ar-SA"/>
        </w:rPr>
      </w:pPr>
      <w:r w:rsidRPr="003D766F">
        <w:rPr>
          <w:rFonts w:ascii="Times New Roman" w:eastAsiaTheme="minorHAnsi" w:hAnsi="Times New Roman"/>
          <w:b/>
          <w:lang w:bidi="ar-SA"/>
        </w:rPr>
        <w:t>III</w:t>
      </w:r>
      <w:r>
        <w:rPr>
          <w:rFonts w:ascii="Times New Roman" w:eastAsiaTheme="minorHAnsi" w:hAnsi="Times New Roman"/>
          <w:b/>
          <w:lang w:bidi="ar-SA"/>
        </w:rPr>
        <w:t>.</w:t>
      </w:r>
      <w:r w:rsidRPr="003D766F">
        <w:rPr>
          <w:rFonts w:ascii="Times New Roman" w:eastAsiaTheme="minorHAnsi" w:hAnsi="Times New Roman"/>
          <w:b/>
          <w:lang w:bidi="ar-SA"/>
        </w:rPr>
        <w:tab/>
        <w:t>Inventory of Participating Service Providers</w:t>
      </w:r>
    </w:p>
    <w:tbl>
      <w:tblPr>
        <w:tblStyle w:val="TableGrid"/>
        <w:tblW w:w="0" w:type="auto"/>
        <w:tblLook w:val="04A0" w:firstRow="1" w:lastRow="0" w:firstColumn="1" w:lastColumn="0" w:noHBand="0" w:noVBand="1"/>
      </w:tblPr>
      <w:tblGrid>
        <w:gridCol w:w="2198"/>
        <w:gridCol w:w="2697"/>
        <w:gridCol w:w="2175"/>
        <w:gridCol w:w="2280"/>
      </w:tblGrid>
      <w:tr w:rsidR="003D766F" w:rsidRPr="00B46B92" w:rsidTr="00515355">
        <w:tc>
          <w:tcPr>
            <w:tcW w:w="9350" w:type="dxa"/>
            <w:gridSpan w:val="4"/>
          </w:tcPr>
          <w:p w:rsidR="003D766F" w:rsidRPr="00B46B92" w:rsidRDefault="003D766F"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Voluntary Assessment and Evaluation Facilities</w:t>
            </w:r>
          </w:p>
        </w:tc>
      </w:tr>
      <w:tr w:rsidR="00B23995" w:rsidRPr="00B46B92" w:rsidTr="00146758">
        <w:tc>
          <w:tcPr>
            <w:tcW w:w="2198"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3D766F" w:rsidRPr="00B46B92" w:rsidRDefault="00B23995" w:rsidP="00272E10">
            <w:pPr>
              <w:spacing w:after="160" w:line="259" w:lineRule="auto"/>
              <w:rPr>
                <w:rFonts w:ascii="Times New Roman" w:eastAsiaTheme="minorHAnsi" w:hAnsi="Times New Roman"/>
                <w:b/>
                <w:lang w:bidi="ar-SA"/>
              </w:rPr>
            </w:pPr>
            <w:r w:rsidRPr="00146758">
              <w:rPr>
                <w:rFonts w:ascii="Times New Roman" w:eastAsiaTheme="minorHAnsi" w:hAnsi="Times New Roman"/>
                <w:b/>
                <w:highlight w:val="yellow"/>
                <w:lang w:bidi="ar-SA"/>
              </w:rPr>
              <w:t>Capabilities/Limitations</w:t>
            </w:r>
          </w:p>
        </w:tc>
        <w:tc>
          <w:tcPr>
            <w:tcW w:w="2175"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3D766F" w:rsidRPr="00B46B92" w:rsidRDefault="00B23995" w:rsidP="00272E10">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146758" w:rsidRPr="005D586F" w:rsidRDefault="00146758" w:rsidP="00146758">
            <w:pPr>
              <w:pStyle w:val="NormalWeb"/>
              <w:rPr>
                <w:rFonts w:ascii="Arial" w:hAnsi="Arial" w:cs="Arial"/>
              </w:rPr>
            </w:pPr>
            <w:r>
              <w:rPr>
                <w:rFonts w:ascii="Arial" w:hAnsi="Arial" w:cs="Arial"/>
                <w:b/>
                <w:sz w:val="22"/>
                <w:szCs w:val="22"/>
                <w:u w:val="single"/>
              </w:rPr>
              <w:t>Jerome Golden Center</w:t>
            </w:r>
            <w:r w:rsidRPr="005D586F">
              <w:rPr>
                <w:rFonts w:asciiTheme="majorHAnsi" w:hAnsiTheme="majorHAnsi" w:cs="Arial"/>
                <w:b/>
                <w:sz w:val="22"/>
                <w:szCs w:val="22"/>
                <w:u w:val="single"/>
              </w:rPr>
              <w:t>:</w:t>
            </w:r>
            <w:r w:rsidRPr="005D586F">
              <w:rPr>
                <w:rFonts w:asciiTheme="majorHAnsi" w:hAnsiTheme="majorHAnsi" w:cs="Arial"/>
                <w:sz w:val="22"/>
                <w:szCs w:val="22"/>
                <w:u w:val="single"/>
              </w:rPr>
              <w:t xml:space="preserve"> </w:t>
            </w:r>
            <w:r w:rsidRPr="005D586F">
              <w:rPr>
                <w:sz w:val="22"/>
                <w:szCs w:val="22"/>
                <w:u w:val="single"/>
              </w:rPr>
              <w:t xml:space="preserve"> </w:t>
            </w:r>
            <w:r w:rsidRPr="005D586F">
              <w:rPr>
                <w:color w:val="000000"/>
                <w:sz w:val="22"/>
                <w:szCs w:val="22"/>
              </w:rPr>
              <w:t>located at</w:t>
            </w:r>
            <w:r w:rsidRPr="005D586F">
              <w:t xml:space="preserve"> 1041 45th Street</w:t>
            </w:r>
            <w:r>
              <w:t xml:space="preserve"> </w:t>
            </w:r>
            <w:r w:rsidRPr="005D586F">
              <w:t xml:space="preserve">West Palm Beach, Florida 33407 </w:t>
            </w:r>
            <w:r w:rsidRPr="005647A7">
              <w:rPr>
                <w:rStyle w:val="Strong"/>
                <w:rFonts w:eastAsiaTheme="majorEastAsia"/>
              </w:rPr>
              <w:t>561.383.8000</w:t>
            </w:r>
            <w:r w:rsidRPr="005D586F">
              <w:rPr>
                <w:color w:val="000000"/>
                <w:sz w:val="22"/>
                <w:szCs w:val="22"/>
              </w:rPr>
              <w:t xml:space="preserve"> – </w:t>
            </w:r>
            <w:r w:rsidRPr="005D586F">
              <w:t xml:space="preserve">The Center provides acute and continuing care services to the severely and persistently mentally ill, those with acute psychiatric disorders, those </w:t>
            </w:r>
            <w:r w:rsidRPr="005D586F">
              <w:lastRenderedPageBreak/>
              <w:t>with co-occu</w:t>
            </w:r>
            <w:r>
              <w:t>r</w:t>
            </w:r>
            <w:r w:rsidRPr="005D586F">
              <w:t>ring disorders ( primary diagnosis of mental illness and substance use disorder), and those in need of crisis support.  Outpatient services are available for those with less severe disorders.  As a designated Baker Act receiving facility, the Center evaluates any person brought to it by the police, courts, physicians, or other mental health professionals. The continuum of behavioral health services to the community includes emergency services, inpatient care, short-term therapy, psychiatric services, case management, group programs, housing and residential services among others</w:t>
            </w:r>
            <w:r w:rsidRPr="005D586F">
              <w:rPr>
                <w:rFonts w:ascii="Arial" w:hAnsi="Arial" w:cs="Arial"/>
              </w:rPr>
              <w:t>.</w:t>
            </w:r>
          </w:p>
          <w:p w:rsidR="00B23995" w:rsidRPr="00B46B92" w:rsidRDefault="00B23995" w:rsidP="00272E10">
            <w:pPr>
              <w:spacing w:after="160" w:line="259" w:lineRule="auto"/>
              <w:rPr>
                <w:rFonts w:ascii="Times New Roman" w:eastAsiaTheme="minorHAnsi" w:hAnsi="Times New Roman"/>
                <w:b/>
                <w:lang w:bidi="ar-SA"/>
              </w:rPr>
            </w:pPr>
          </w:p>
        </w:tc>
        <w:tc>
          <w:tcPr>
            <w:tcW w:w="2697" w:type="dxa"/>
          </w:tcPr>
          <w:p w:rsidR="00207922" w:rsidRDefault="00207922" w:rsidP="00207922">
            <w:pPr>
              <w:pStyle w:val="ListParagraph"/>
              <w:spacing w:after="160" w:line="259" w:lineRule="auto"/>
              <w:rPr>
                <w:rFonts w:ascii="Times New Roman" w:hAnsi="Times New Roman"/>
              </w:rPr>
            </w:pPr>
            <w:r w:rsidRPr="00AC5633">
              <w:rPr>
                <w:rFonts w:ascii="Times New Roman" w:hAnsi="Times New Roman"/>
              </w:rPr>
              <w:lastRenderedPageBreak/>
              <w:t xml:space="preserve">Adults on an involuntary Baker Act to the nearest receiving facility at Jerome Golden Center </w:t>
            </w:r>
          </w:p>
          <w:p w:rsidR="00B23995" w:rsidRPr="00B46B92" w:rsidRDefault="00B23995" w:rsidP="00272E10">
            <w:pPr>
              <w:spacing w:after="160" w:line="259" w:lineRule="auto"/>
              <w:rPr>
                <w:rFonts w:ascii="Times New Roman" w:eastAsiaTheme="minorHAnsi" w:hAnsi="Times New Roman"/>
                <w:b/>
                <w:lang w:bidi="ar-SA"/>
              </w:rPr>
            </w:pPr>
          </w:p>
        </w:tc>
        <w:tc>
          <w:tcPr>
            <w:tcW w:w="2175" w:type="dxa"/>
          </w:tcPr>
          <w:p w:rsidR="00B23995" w:rsidRPr="00B46B92" w:rsidRDefault="00146758" w:rsidP="00272E10">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c>
          <w:tcPr>
            <w:tcW w:w="2280" w:type="dxa"/>
          </w:tcPr>
          <w:p w:rsidR="00B23995" w:rsidRPr="00B46B92" w:rsidRDefault="00146758" w:rsidP="00272E10">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B23995" w:rsidRPr="00B46B92" w:rsidTr="00146758">
        <w:tc>
          <w:tcPr>
            <w:tcW w:w="2198" w:type="dxa"/>
          </w:tcPr>
          <w:p w:rsidR="00146758" w:rsidRPr="005D586F" w:rsidRDefault="00146758" w:rsidP="00146758">
            <w:pPr>
              <w:pStyle w:val="Heading1"/>
              <w:outlineLvl w:val="0"/>
              <w:rPr>
                <w:rFonts w:ascii="Times New Roman" w:eastAsia="Times New Roman" w:hAnsi="Times New Roman"/>
                <w:b w:val="0"/>
                <w:kern w:val="36"/>
                <w:sz w:val="24"/>
                <w:szCs w:val="24"/>
                <w:lang w:bidi="ar-SA"/>
              </w:rPr>
            </w:pPr>
            <w:r w:rsidRPr="005D586F">
              <w:rPr>
                <w:rFonts w:ascii="Arial" w:hAnsi="Arial" w:cs="Arial"/>
                <w:sz w:val="22"/>
                <w:szCs w:val="22"/>
                <w:u w:val="single"/>
              </w:rPr>
              <w:lastRenderedPageBreak/>
              <w:t>Jerome Golden Center – Glades Services</w:t>
            </w:r>
            <w:r>
              <w:rPr>
                <w:rFonts w:ascii="Arial" w:hAnsi="Arial" w:cs="Arial"/>
                <w:b w:val="0"/>
                <w:sz w:val="22"/>
                <w:szCs w:val="22"/>
                <w:u w:val="single"/>
              </w:rPr>
              <w:t xml:space="preserve">: </w:t>
            </w:r>
            <w:r w:rsidRPr="005D586F">
              <w:rPr>
                <w:rFonts w:ascii="Times New Roman" w:hAnsi="Times New Roman"/>
                <w:b w:val="0"/>
                <w:sz w:val="24"/>
                <w:szCs w:val="24"/>
              </w:rPr>
              <w:t>located at</w:t>
            </w:r>
            <w:r w:rsidRPr="005D586F">
              <w:rPr>
                <w:rFonts w:ascii="Times New Roman" w:hAnsi="Times New Roman"/>
                <w:b w:val="0"/>
                <w:sz w:val="24"/>
                <w:szCs w:val="24"/>
                <w:u w:val="single"/>
              </w:rPr>
              <w:t xml:space="preserve"> </w:t>
            </w:r>
            <w:r w:rsidRPr="005D586F">
              <w:rPr>
                <w:rFonts w:ascii="Times New Roman" w:hAnsi="Times New Roman"/>
                <w:b w:val="0"/>
                <w:sz w:val="24"/>
                <w:szCs w:val="24"/>
              </w:rPr>
              <w:t>816 NW Ave D, Belle Glade, Florida 33430 (</w:t>
            </w:r>
            <w:r w:rsidRPr="005D586F">
              <w:rPr>
                <w:rStyle w:val="Strong"/>
                <w:rFonts w:ascii="Times New Roman" w:hAnsi="Times New Roman"/>
                <w:sz w:val="24"/>
                <w:szCs w:val="24"/>
              </w:rPr>
              <w:t xml:space="preserve">561.993.8080) </w:t>
            </w:r>
            <w:r w:rsidRPr="005D586F">
              <w:rPr>
                <w:rFonts w:ascii="Times New Roman" w:eastAsia="Times New Roman" w:hAnsi="Times New Roman"/>
                <w:b w:val="0"/>
                <w:kern w:val="36"/>
                <w:sz w:val="24"/>
                <w:szCs w:val="24"/>
                <w:lang w:bidi="ar-SA"/>
              </w:rPr>
              <w:t>Stabilization p</w:t>
            </w:r>
            <w:r w:rsidRPr="005D586F">
              <w:rPr>
                <w:rFonts w:ascii="Times New Roman" w:eastAsia="Times New Roman" w:hAnsi="Times New Roman"/>
                <w:b w:val="0"/>
                <w:sz w:val="24"/>
                <w:szCs w:val="24"/>
                <w:lang w:bidi="ar-SA"/>
              </w:rPr>
              <w:t>rovides individualized inpatient therapeutic interventions for adults, adolescents and children in a safe, secure and structured environment.</w:t>
            </w:r>
          </w:p>
          <w:p w:rsidR="00B23995" w:rsidRPr="00B46B92" w:rsidRDefault="00B23995" w:rsidP="00272E10">
            <w:pPr>
              <w:spacing w:after="160" w:line="259" w:lineRule="auto"/>
              <w:rPr>
                <w:rFonts w:ascii="Times New Roman" w:eastAsiaTheme="minorHAnsi" w:hAnsi="Times New Roman"/>
                <w:b/>
                <w:lang w:bidi="ar-SA"/>
              </w:rPr>
            </w:pPr>
          </w:p>
        </w:tc>
        <w:tc>
          <w:tcPr>
            <w:tcW w:w="2697" w:type="dxa"/>
          </w:tcPr>
          <w:p w:rsidR="00207922" w:rsidRDefault="00207922" w:rsidP="00272E10">
            <w:pPr>
              <w:spacing w:after="160" w:line="259" w:lineRule="auto"/>
              <w:rPr>
                <w:rFonts w:ascii="Times New Roman" w:eastAsiaTheme="minorHAnsi" w:hAnsi="Times New Roman"/>
                <w:b/>
                <w:lang w:bidi="ar-SA"/>
              </w:rPr>
            </w:pPr>
          </w:p>
          <w:p w:rsidR="00207922" w:rsidRPr="00B46B92" w:rsidRDefault="00207922" w:rsidP="00272E10">
            <w:pPr>
              <w:spacing w:after="160" w:line="259" w:lineRule="auto"/>
              <w:rPr>
                <w:rFonts w:ascii="Times New Roman" w:eastAsiaTheme="minorHAnsi" w:hAnsi="Times New Roman"/>
                <w:b/>
                <w:lang w:bidi="ar-SA"/>
              </w:rPr>
            </w:pPr>
          </w:p>
        </w:tc>
        <w:tc>
          <w:tcPr>
            <w:tcW w:w="2175" w:type="dxa"/>
          </w:tcPr>
          <w:p w:rsidR="00B23995" w:rsidRDefault="00B23995" w:rsidP="00272E10">
            <w:pPr>
              <w:spacing w:after="160" w:line="259" w:lineRule="auto"/>
              <w:rPr>
                <w:rFonts w:ascii="Times New Roman" w:eastAsiaTheme="minorHAnsi" w:hAnsi="Times New Roman"/>
                <w:b/>
                <w:lang w:bidi="ar-SA"/>
              </w:rPr>
            </w:pPr>
          </w:p>
          <w:p w:rsidR="00146758" w:rsidRDefault="00146758" w:rsidP="00272E10">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p w:rsidR="00146758" w:rsidRPr="00B46B92" w:rsidRDefault="00146758" w:rsidP="00272E10">
            <w:pPr>
              <w:spacing w:after="160" w:line="259" w:lineRule="auto"/>
              <w:rPr>
                <w:rFonts w:ascii="Times New Roman" w:eastAsiaTheme="minorHAnsi" w:hAnsi="Times New Roman"/>
                <w:b/>
                <w:lang w:bidi="ar-SA"/>
              </w:rPr>
            </w:pPr>
          </w:p>
        </w:tc>
        <w:tc>
          <w:tcPr>
            <w:tcW w:w="2280" w:type="dxa"/>
          </w:tcPr>
          <w:p w:rsidR="00146758" w:rsidRDefault="00146758" w:rsidP="00272E10">
            <w:pPr>
              <w:spacing w:after="160" w:line="259" w:lineRule="auto"/>
              <w:rPr>
                <w:rFonts w:ascii="Times New Roman" w:eastAsiaTheme="minorHAnsi" w:hAnsi="Times New Roman"/>
                <w:b/>
                <w:lang w:bidi="ar-SA"/>
              </w:rPr>
            </w:pPr>
          </w:p>
          <w:p w:rsidR="00B23995" w:rsidRPr="00146758" w:rsidRDefault="00146758" w:rsidP="00146758">
            <w:pPr>
              <w:rPr>
                <w:rFonts w:ascii="Times New Roman" w:eastAsiaTheme="minorHAnsi" w:hAnsi="Times New Roman"/>
                <w:lang w:bidi="ar-SA"/>
              </w:rPr>
            </w:pPr>
            <w:r>
              <w:rPr>
                <w:rFonts w:ascii="Times New Roman" w:eastAsiaTheme="minorHAnsi" w:hAnsi="Times New Roman"/>
                <w:lang w:bidi="ar-SA"/>
              </w:rPr>
              <w:t>Yes</w:t>
            </w:r>
          </w:p>
        </w:tc>
      </w:tr>
      <w:tr w:rsidR="00B23995" w:rsidRPr="00B46B92" w:rsidTr="00146758">
        <w:tc>
          <w:tcPr>
            <w:tcW w:w="2198" w:type="dxa"/>
          </w:tcPr>
          <w:p w:rsidR="00146758" w:rsidRPr="000B25DA" w:rsidRDefault="00146758" w:rsidP="00146758">
            <w:pPr>
              <w:spacing w:after="160" w:line="259" w:lineRule="auto"/>
              <w:rPr>
                <w:rFonts w:ascii="Arial" w:hAnsi="Arial" w:cs="Arial"/>
                <w:b/>
                <w:sz w:val="22"/>
                <w:szCs w:val="22"/>
                <w:u w:val="single"/>
              </w:rPr>
            </w:pPr>
            <w:r w:rsidRPr="000C7EF9">
              <w:rPr>
                <w:rFonts w:ascii="Arial" w:hAnsi="Arial" w:cs="Arial"/>
                <w:b/>
                <w:sz w:val="22"/>
                <w:szCs w:val="22"/>
                <w:u w:val="single"/>
              </w:rPr>
              <w:t>Glades Emergency Medical Service:</w:t>
            </w:r>
            <w:r w:rsidRPr="000C7EF9">
              <w:rPr>
                <w:rFonts w:ascii="Arial" w:hAnsi="Arial" w:cs="Arial"/>
                <w:b/>
                <w:sz w:val="22"/>
                <w:szCs w:val="22"/>
              </w:rPr>
              <w:t xml:space="preserve"> </w:t>
            </w:r>
            <w:r w:rsidRPr="00800238">
              <w:rPr>
                <w:rFonts w:ascii="Times New Roman" w:hAnsi="Times New Roman"/>
              </w:rPr>
              <w:t xml:space="preserve">is </w:t>
            </w:r>
            <w:r w:rsidRPr="00800238">
              <w:rPr>
                <w:rStyle w:val="xbe"/>
                <w:rFonts w:ascii="Times New Roman" w:hAnsi="Times New Roman"/>
                <w:color w:val="222222"/>
                <w:lang w:val="en"/>
              </w:rPr>
              <w:t>not a receiving facility, but is responsible to evaluate, treat and transfer persons in need of mental health and addiction treatment as part of their emergency department. This is in accordance with federal (EMTALA) emergency care rules and the medical treatment aspect of the plan applies to Glades Emergency Medical</w:t>
            </w:r>
            <w:r>
              <w:rPr>
                <w:rStyle w:val="xbe"/>
                <w:rFonts w:ascii="Arial" w:hAnsi="Arial" w:cs="Arial"/>
                <w:color w:val="222222"/>
                <w:sz w:val="22"/>
                <w:szCs w:val="22"/>
                <w:lang w:val="en"/>
              </w:rPr>
              <w:t xml:space="preserve"> Services</w:t>
            </w:r>
            <w:r w:rsidRPr="000B25DA">
              <w:rPr>
                <w:rStyle w:val="xbe"/>
                <w:rFonts w:ascii="Arial" w:hAnsi="Arial" w:cs="Arial"/>
                <w:color w:val="222222"/>
                <w:sz w:val="22"/>
                <w:szCs w:val="22"/>
                <w:lang w:val="en"/>
              </w:rPr>
              <w:t>.</w:t>
            </w:r>
          </w:p>
          <w:p w:rsidR="00B23995" w:rsidRPr="00B46B92" w:rsidRDefault="00B23995" w:rsidP="00272E10">
            <w:pPr>
              <w:spacing w:after="160" w:line="259" w:lineRule="auto"/>
              <w:rPr>
                <w:rFonts w:ascii="Times New Roman" w:eastAsiaTheme="minorHAnsi" w:hAnsi="Times New Roman"/>
                <w:b/>
                <w:lang w:bidi="ar-SA"/>
              </w:rPr>
            </w:pPr>
          </w:p>
        </w:tc>
        <w:tc>
          <w:tcPr>
            <w:tcW w:w="2697" w:type="dxa"/>
          </w:tcPr>
          <w:p w:rsidR="00B23995" w:rsidRPr="00B46B92" w:rsidRDefault="00207922" w:rsidP="00272E10">
            <w:pPr>
              <w:spacing w:after="160" w:line="259" w:lineRule="auto"/>
              <w:rPr>
                <w:rFonts w:ascii="Times New Roman" w:eastAsiaTheme="minorHAnsi" w:hAnsi="Times New Roman"/>
                <w:b/>
                <w:lang w:bidi="ar-SA"/>
              </w:rPr>
            </w:pPr>
            <w:r>
              <w:rPr>
                <w:rStyle w:val="xbe"/>
                <w:rFonts w:ascii="Times New Roman" w:hAnsi="Times New Roman"/>
                <w:color w:val="222222"/>
                <w:lang w:val="en"/>
              </w:rPr>
              <w:t>N</w:t>
            </w:r>
            <w:r w:rsidRPr="00800238">
              <w:rPr>
                <w:rStyle w:val="xbe"/>
                <w:rFonts w:ascii="Times New Roman" w:hAnsi="Times New Roman"/>
                <w:color w:val="222222"/>
                <w:lang w:val="en"/>
              </w:rPr>
              <w:t>ot a receiving facility, but is responsible to evaluate, treat and transfer persons in need of mental health and addiction treatment</w:t>
            </w:r>
          </w:p>
        </w:tc>
        <w:tc>
          <w:tcPr>
            <w:tcW w:w="2175" w:type="dxa"/>
          </w:tcPr>
          <w:p w:rsidR="00B23995" w:rsidRPr="00B46B92" w:rsidRDefault="00146758" w:rsidP="00272E10">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c>
          <w:tcPr>
            <w:tcW w:w="2280" w:type="dxa"/>
          </w:tcPr>
          <w:p w:rsidR="00B23995" w:rsidRPr="00B46B92" w:rsidRDefault="00146758" w:rsidP="00272E10">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146758" w:rsidRPr="00B46B92" w:rsidTr="00146758">
        <w:tc>
          <w:tcPr>
            <w:tcW w:w="2198" w:type="dxa"/>
          </w:tcPr>
          <w:p w:rsidR="00146758" w:rsidRPr="00B46B92" w:rsidRDefault="00146758" w:rsidP="00272E10">
            <w:pPr>
              <w:spacing w:after="160" w:line="259" w:lineRule="auto"/>
              <w:rPr>
                <w:rFonts w:ascii="Times New Roman" w:eastAsiaTheme="minorHAnsi" w:hAnsi="Times New Roman"/>
                <w:b/>
                <w:lang w:bidi="ar-SA"/>
              </w:rPr>
            </w:pPr>
          </w:p>
        </w:tc>
        <w:tc>
          <w:tcPr>
            <w:tcW w:w="2697" w:type="dxa"/>
          </w:tcPr>
          <w:p w:rsidR="00146758" w:rsidRPr="00B46B92" w:rsidRDefault="00146758" w:rsidP="00272E10">
            <w:pPr>
              <w:spacing w:after="160" w:line="259" w:lineRule="auto"/>
              <w:rPr>
                <w:rFonts w:ascii="Times New Roman" w:eastAsiaTheme="minorHAnsi" w:hAnsi="Times New Roman"/>
                <w:b/>
                <w:lang w:bidi="ar-SA"/>
              </w:rPr>
            </w:pPr>
          </w:p>
        </w:tc>
        <w:tc>
          <w:tcPr>
            <w:tcW w:w="2175" w:type="dxa"/>
          </w:tcPr>
          <w:p w:rsidR="00146758" w:rsidRPr="00B46B92" w:rsidRDefault="00146758" w:rsidP="00272E10">
            <w:pPr>
              <w:spacing w:after="160" w:line="259" w:lineRule="auto"/>
              <w:rPr>
                <w:rFonts w:ascii="Times New Roman" w:eastAsiaTheme="minorHAnsi" w:hAnsi="Times New Roman"/>
                <w:b/>
                <w:lang w:bidi="ar-SA"/>
              </w:rPr>
            </w:pPr>
          </w:p>
        </w:tc>
        <w:tc>
          <w:tcPr>
            <w:tcW w:w="2280" w:type="dxa"/>
          </w:tcPr>
          <w:p w:rsidR="00146758" w:rsidRPr="00B46B92" w:rsidRDefault="00146758" w:rsidP="00272E10">
            <w:pPr>
              <w:spacing w:after="160" w:line="259" w:lineRule="auto"/>
              <w:rPr>
                <w:rFonts w:ascii="Times New Roman" w:eastAsiaTheme="minorHAnsi" w:hAnsi="Times New Roman"/>
                <w:b/>
                <w:lang w:bidi="ar-SA"/>
              </w:rPr>
            </w:pPr>
          </w:p>
        </w:tc>
      </w:tr>
      <w:tr w:rsidR="003D766F" w:rsidRPr="00B46B92" w:rsidTr="006A771E">
        <w:tc>
          <w:tcPr>
            <w:tcW w:w="9350" w:type="dxa"/>
            <w:gridSpan w:val="4"/>
          </w:tcPr>
          <w:p w:rsidR="003D766F" w:rsidRPr="00B46B92" w:rsidRDefault="003D766F"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lastRenderedPageBreak/>
              <w:t>Involuntary Assessment and Evaluation Facilities</w:t>
            </w:r>
          </w:p>
        </w:tc>
      </w:tr>
      <w:tr w:rsidR="00B23995" w:rsidRPr="00B46B92" w:rsidTr="00146758">
        <w:tc>
          <w:tcPr>
            <w:tcW w:w="2198"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175"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B23995" w:rsidRPr="00B46B92" w:rsidRDefault="00B23995" w:rsidP="00920AB7">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B23995" w:rsidRPr="00B46B92" w:rsidRDefault="00207922" w:rsidP="00E61CAA">
            <w:pPr>
              <w:spacing w:after="160" w:line="259" w:lineRule="auto"/>
              <w:rPr>
                <w:rFonts w:ascii="Times New Roman" w:eastAsiaTheme="minorHAnsi" w:hAnsi="Times New Roman"/>
                <w:b/>
                <w:lang w:bidi="ar-SA"/>
              </w:rPr>
            </w:pPr>
            <w:r>
              <w:rPr>
                <w:rFonts w:ascii="Arial" w:hAnsi="Arial" w:cs="Arial"/>
                <w:b/>
                <w:sz w:val="22"/>
                <w:szCs w:val="22"/>
                <w:u w:val="single"/>
              </w:rPr>
              <w:t>Jerome Golden Center</w:t>
            </w:r>
            <w:r w:rsidRPr="005D586F">
              <w:rPr>
                <w:rFonts w:asciiTheme="majorHAnsi" w:hAnsiTheme="majorHAnsi" w:cs="Arial"/>
                <w:b/>
                <w:sz w:val="22"/>
                <w:szCs w:val="22"/>
                <w:u w:val="single"/>
              </w:rPr>
              <w:t>:</w:t>
            </w:r>
            <w:r w:rsidRPr="005D586F">
              <w:rPr>
                <w:rFonts w:asciiTheme="majorHAnsi" w:hAnsiTheme="majorHAnsi" w:cs="Arial"/>
                <w:sz w:val="22"/>
                <w:szCs w:val="22"/>
                <w:u w:val="single"/>
              </w:rPr>
              <w:t xml:space="preserve"> </w:t>
            </w:r>
            <w:r w:rsidRPr="005D586F">
              <w:rPr>
                <w:sz w:val="22"/>
                <w:szCs w:val="22"/>
                <w:u w:val="single"/>
              </w:rPr>
              <w:t xml:space="preserve"> </w:t>
            </w:r>
            <w:r w:rsidRPr="005D586F">
              <w:rPr>
                <w:color w:val="000000"/>
                <w:sz w:val="22"/>
                <w:szCs w:val="22"/>
              </w:rPr>
              <w:t>located at</w:t>
            </w:r>
            <w:r w:rsidRPr="005D586F">
              <w:t xml:space="preserve"> 1041 45th Street</w:t>
            </w:r>
            <w:r>
              <w:t xml:space="preserve"> </w:t>
            </w:r>
            <w:r w:rsidRPr="005D586F">
              <w:t xml:space="preserve">West Palm Beach, Florida 33407 </w:t>
            </w:r>
            <w:r w:rsidRPr="005647A7">
              <w:rPr>
                <w:rStyle w:val="Strong"/>
                <w:rFonts w:eastAsiaTheme="majorEastAsia"/>
              </w:rPr>
              <w:t>561.383.8000</w:t>
            </w:r>
            <w:r w:rsidRPr="005D586F">
              <w:rPr>
                <w:color w:val="000000"/>
                <w:sz w:val="22"/>
                <w:szCs w:val="22"/>
              </w:rPr>
              <w:t xml:space="preserve"> – </w:t>
            </w:r>
          </w:p>
        </w:tc>
        <w:tc>
          <w:tcPr>
            <w:tcW w:w="2697" w:type="dxa"/>
          </w:tcPr>
          <w:p w:rsidR="00B23995" w:rsidRPr="00B46B92" w:rsidRDefault="00E61CAA" w:rsidP="00920AB7">
            <w:pPr>
              <w:spacing w:after="160" w:line="259" w:lineRule="auto"/>
              <w:rPr>
                <w:rFonts w:ascii="Times New Roman" w:eastAsiaTheme="minorHAnsi" w:hAnsi="Times New Roman"/>
                <w:b/>
                <w:lang w:bidi="ar-SA"/>
              </w:rPr>
            </w:pPr>
            <w:r w:rsidRPr="005D586F">
              <w:t>The Center provides acute and continuing care services to the severely and persistently mentally ill, those with acute psychiatric disorders, those with co-occu</w:t>
            </w:r>
            <w:r>
              <w:t>r</w:t>
            </w:r>
            <w:r w:rsidRPr="005D586F">
              <w:t>ring disorders ( primary diagnosis of mental illness and substance use disorder), and those in need of crisis support. </w:t>
            </w:r>
          </w:p>
        </w:tc>
        <w:tc>
          <w:tcPr>
            <w:tcW w:w="2175" w:type="dxa"/>
          </w:tcPr>
          <w:p w:rsidR="00B23995" w:rsidRPr="00B46B92" w:rsidRDefault="00E61CAA" w:rsidP="00920AB7">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c>
          <w:tcPr>
            <w:tcW w:w="2280" w:type="dxa"/>
          </w:tcPr>
          <w:p w:rsidR="00B23995" w:rsidRPr="00B46B92" w:rsidRDefault="00E61CAA" w:rsidP="00920AB7">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B23995" w:rsidRPr="00B46B92" w:rsidTr="00146758">
        <w:tc>
          <w:tcPr>
            <w:tcW w:w="2198" w:type="dxa"/>
          </w:tcPr>
          <w:p w:rsidR="00146758" w:rsidRPr="005D586F" w:rsidRDefault="00146758" w:rsidP="00146758">
            <w:pPr>
              <w:pStyle w:val="Heading1"/>
              <w:outlineLvl w:val="0"/>
              <w:rPr>
                <w:rFonts w:ascii="Times New Roman" w:eastAsia="Times New Roman" w:hAnsi="Times New Roman"/>
                <w:b w:val="0"/>
                <w:kern w:val="36"/>
                <w:sz w:val="24"/>
                <w:szCs w:val="24"/>
                <w:lang w:bidi="ar-SA"/>
              </w:rPr>
            </w:pPr>
            <w:bookmarkStart w:id="1" w:name="_GoBack"/>
            <w:bookmarkEnd w:id="1"/>
            <w:r w:rsidRPr="005D586F">
              <w:rPr>
                <w:rFonts w:ascii="Arial" w:hAnsi="Arial" w:cs="Arial"/>
                <w:sz w:val="22"/>
                <w:szCs w:val="22"/>
                <w:u w:val="single"/>
              </w:rPr>
              <w:t>Jerome Golden Center – Glades Services</w:t>
            </w:r>
            <w:r>
              <w:rPr>
                <w:rFonts w:ascii="Arial" w:hAnsi="Arial" w:cs="Arial"/>
                <w:b w:val="0"/>
                <w:sz w:val="22"/>
                <w:szCs w:val="22"/>
                <w:u w:val="single"/>
              </w:rPr>
              <w:t xml:space="preserve">: </w:t>
            </w:r>
            <w:r w:rsidRPr="005D586F">
              <w:rPr>
                <w:rFonts w:ascii="Times New Roman" w:hAnsi="Times New Roman"/>
                <w:b w:val="0"/>
                <w:sz w:val="24"/>
                <w:szCs w:val="24"/>
              </w:rPr>
              <w:t>located at</w:t>
            </w:r>
            <w:r w:rsidRPr="005D586F">
              <w:rPr>
                <w:rFonts w:ascii="Times New Roman" w:hAnsi="Times New Roman"/>
                <w:b w:val="0"/>
                <w:sz w:val="24"/>
                <w:szCs w:val="24"/>
                <w:u w:val="single"/>
              </w:rPr>
              <w:t xml:space="preserve"> </w:t>
            </w:r>
            <w:r w:rsidRPr="005D586F">
              <w:rPr>
                <w:rFonts w:ascii="Times New Roman" w:hAnsi="Times New Roman"/>
                <w:b w:val="0"/>
                <w:sz w:val="24"/>
                <w:szCs w:val="24"/>
              </w:rPr>
              <w:t>816 NW Ave D, Belle Glade, Florida 33430 (</w:t>
            </w:r>
            <w:r w:rsidRPr="005D586F">
              <w:rPr>
                <w:rStyle w:val="Strong"/>
                <w:rFonts w:ascii="Times New Roman" w:hAnsi="Times New Roman"/>
                <w:sz w:val="24"/>
                <w:szCs w:val="24"/>
              </w:rPr>
              <w:t xml:space="preserve">561.993.8080) </w:t>
            </w:r>
          </w:p>
          <w:p w:rsidR="003D766F" w:rsidRPr="00B46B92" w:rsidRDefault="003D766F" w:rsidP="00272E10">
            <w:pPr>
              <w:spacing w:after="160" w:line="259" w:lineRule="auto"/>
              <w:rPr>
                <w:rFonts w:ascii="Times New Roman" w:eastAsiaTheme="minorHAnsi" w:hAnsi="Times New Roman"/>
                <w:lang w:bidi="ar-SA"/>
              </w:rPr>
            </w:pPr>
          </w:p>
        </w:tc>
        <w:tc>
          <w:tcPr>
            <w:tcW w:w="2697" w:type="dxa"/>
          </w:tcPr>
          <w:p w:rsidR="003D766F" w:rsidRDefault="00E61CAA" w:rsidP="00272E10">
            <w:pPr>
              <w:spacing w:after="160" w:line="259" w:lineRule="auto"/>
              <w:rPr>
                <w:rFonts w:ascii="Times New Roman" w:eastAsiaTheme="minorHAnsi" w:hAnsi="Times New Roman"/>
                <w:lang w:bidi="ar-SA"/>
              </w:rPr>
            </w:pPr>
            <w:r w:rsidRPr="005D586F">
              <w:rPr>
                <w:rFonts w:ascii="Times New Roman" w:eastAsia="Times New Roman" w:hAnsi="Times New Roman"/>
                <w:kern w:val="36"/>
                <w:lang w:bidi="ar-SA"/>
              </w:rPr>
              <w:t>Stabilization p</w:t>
            </w:r>
            <w:r w:rsidRPr="005D586F">
              <w:rPr>
                <w:rFonts w:ascii="Times New Roman" w:eastAsia="Times New Roman" w:hAnsi="Times New Roman"/>
                <w:lang w:bidi="ar-SA"/>
              </w:rPr>
              <w:t>rovides individualized inpatient therapeutic interventions for adults, adolescents and children in a safe, secure and structured environment.</w:t>
            </w:r>
          </w:p>
          <w:p w:rsidR="00E61CAA" w:rsidRPr="00B46B92" w:rsidRDefault="00E61CAA" w:rsidP="00272E10">
            <w:pPr>
              <w:spacing w:after="160" w:line="259" w:lineRule="auto"/>
              <w:rPr>
                <w:rFonts w:ascii="Times New Roman" w:eastAsiaTheme="minorHAnsi" w:hAnsi="Times New Roman"/>
                <w:lang w:bidi="ar-SA"/>
              </w:rPr>
            </w:pPr>
          </w:p>
        </w:tc>
        <w:tc>
          <w:tcPr>
            <w:tcW w:w="2175" w:type="dxa"/>
          </w:tcPr>
          <w:p w:rsidR="003D766F" w:rsidRPr="00B46B92" w:rsidRDefault="003D766F" w:rsidP="00272E10">
            <w:pPr>
              <w:spacing w:after="160" w:line="259" w:lineRule="auto"/>
              <w:rPr>
                <w:rFonts w:ascii="Times New Roman" w:eastAsiaTheme="minorHAnsi" w:hAnsi="Times New Roman"/>
                <w:lang w:bidi="ar-SA"/>
              </w:rPr>
            </w:pPr>
          </w:p>
        </w:tc>
        <w:tc>
          <w:tcPr>
            <w:tcW w:w="2280" w:type="dxa"/>
          </w:tcPr>
          <w:p w:rsidR="003D766F" w:rsidRPr="00B46B92" w:rsidRDefault="003D766F" w:rsidP="00272E10">
            <w:pPr>
              <w:spacing w:after="160" w:line="259" w:lineRule="auto"/>
              <w:rPr>
                <w:rFonts w:ascii="Times New Roman" w:eastAsiaTheme="minorHAnsi" w:hAnsi="Times New Roman"/>
                <w:lang w:bidi="ar-SA"/>
              </w:rPr>
            </w:pPr>
          </w:p>
        </w:tc>
      </w:tr>
      <w:tr w:rsidR="00B23995" w:rsidRPr="00B46B92" w:rsidTr="00146758">
        <w:tc>
          <w:tcPr>
            <w:tcW w:w="2198" w:type="dxa"/>
          </w:tcPr>
          <w:p w:rsidR="00B23995" w:rsidRPr="00B46B92" w:rsidRDefault="00B23995" w:rsidP="00272E10">
            <w:pPr>
              <w:spacing w:after="160" w:line="259" w:lineRule="auto"/>
              <w:rPr>
                <w:rFonts w:ascii="Times New Roman" w:eastAsiaTheme="minorHAnsi" w:hAnsi="Times New Roman"/>
                <w:lang w:bidi="ar-SA"/>
              </w:rPr>
            </w:pPr>
          </w:p>
        </w:tc>
        <w:tc>
          <w:tcPr>
            <w:tcW w:w="2697" w:type="dxa"/>
          </w:tcPr>
          <w:p w:rsidR="00B23995" w:rsidRPr="00B46B92" w:rsidRDefault="00B23995" w:rsidP="00272E10">
            <w:pPr>
              <w:spacing w:after="160" w:line="259" w:lineRule="auto"/>
              <w:rPr>
                <w:rFonts w:ascii="Times New Roman" w:eastAsiaTheme="minorHAnsi" w:hAnsi="Times New Roman"/>
                <w:lang w:bidi="ar-SA"/>
              </w:rPr>
            </w:pPr>
          </w:p>
        </w:tc>
        <w:tc>
          <w:tcPr>
            <w:tcW w:w="2175" w:type="dxa"/>
          </w:tcPr>
          <w:p w:rsidR="00B23995" w:rsidRPr="00B46B92" w:rsidRDefault="00B23995" w:rsidP="00272E10">
            <w:pPr>
              <w:spacing w:after="160" w:line="259" w:lineRule="auto"/>
              <w:rPr>
                <w:rFonts w:ascii="Times New Roman" w:eastAsiaTheme="minorHAnsi" w:hAnsi="Times New Roman"/>
                <w:lang w:bidi="ar-SA"/>
              </w:rPr>
            </w:pPr>
          </w:p>
        </w:tc>
        <w:tc>
          <w:tcPr>
            <w:tcW w:w="2280" w:type="dxa"/>
          </w:tcPr>
          <w:p w:rsidR="00B23995" w:rsidRPr="00B46B92" w:rsidRDefault="00B23995" w:rsidP="00272E10">
            <w:pPr>
              <w:spacing w:after="160" w:line="259" w:lineRule="auto"/>
              <w:rPr>
                <w:rFonts w:ascii="Times New Roman" w:eastAsiaTheme="minorHAnsi" w:hAnsi="Times New Roman"/>
                <w:lang w:bidi="ar-SA"/>
              </w:rPr>
            </w:pPr>
          </w:p>
        </w:tc>
      </w:tr>
      <w:tr w:rsidR="003D766F" w:rsidRPr="00B46B92" w:rsidTr="005F7A36">
        <w:tc>
          <w:tcPr>
            <w:tcW w:w="9350" w:type="dxa"/>
            <w:gridSpan w:val="4"/>
          </w:tcPr>
          <w:p w:rsidR="003D766F" w:rsidRPr="00B46B92" w:rsidRDefault="003D766F"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Triage Centers for Mental Health</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175"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B23995" w:rsidRPr="00B46B92" w:rsidRDefault="00207922" w:rsidP="00B23995">
            <w:pPr>
              <w:spacing w:after="160" w:line="259" w:lineRule="auto"/>
              <w:rPr>
                <w:rFonts w:ascii="Times New Roman" w:eastAsiaTheme="minorHAnsi" w:hAnsi="Times New Roman"/>
                <w:b/>
                <w:lang w:bidi="ar-SA"/>
              </w:rPr>
            </w:pPr>
            <w:r>
              <w:rPr>
                <w:rFonts w:ascii="Arial" w:hAnsi="Arial" w:cs="Arial"/>
                <w:b/>
                <w:sz w:val="22"/>
                <w:szCs w:val="22"/>
                <w:u w:val="single"/>
              </w:rPr>
              <w:t>Jerome Golden Center</w:t>
            </w:r>
          </w:p>
        </w:tc>
        <w:tc>
          <w:tcPr>
            <w:tcW w:w="2697" w:type="dxa"/>
          </w:tcPr>
          <w:p w:rsidR="00207922" w:rsidRPr="005D586F" w:rsidRDefault="00207922" w:rsidP="00207922">
            <w:pPr>
              <w:pStyle w:val="NormalWeb"/>
              <w:rPr>
                <w:rFonts w:ascii="Arial" w:hAnsi="Arial" w:cs="Arial"/>
              </w:rPr>
            </w:pPr>
            <w:r w:rsidRPr="005D586F">
              <w:t xml:space="preserve">The continuum of behavioral health services to the community includes </w:t>
            </w:r>
            <w:r w:rsidRPr="005D586F">
              <w:lastRenderedPageBreak/>
              <w:t>emergency services, inpatient care, short-term therapy, psychiatric services, case management, group programs, housing and residential services among others</w:t>
            </w:r>
            <w:r w:rsidRPr="005D586F">
              <w:rPr>
                <w:rFonts w:ascii="Arial" w:hAnsi="Arial" w:cs="Arial"/>
              </w:rPr>
              <w:t>.</w:t>
            </w:r>
          </w:p>
          <w:p w:rsidR="00B23995" w:rsidRPr="00B46B92" w:rsidRDefault="00B23995" w:rsidP="00B23995">
            <w:pPr>
              <w:spacing w:after="160" w:line="259" w:lineRule="auto"/>
              <w:rPr>
                <w:rFonts w:ascii="Times New Roman" w:eastAsiaTheme="minorHAnsi" w:hAnsi="Times New Roman"/>
                <w:b/>
                <w:lang w:bidi="ar-SA"/>
              </w:rPr>
            </w:pPr>
          </w:p>
        </w:tc>
        <w:tc>
          <w:tcPr>
            <w:tcW w:w="2175"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lastRenderedPageBreak/>
              <w:t>Yes</w:t>
            </w:r>
          </w:p>
        </w:tc>
        <w:tc>
          <w:tcPr>
            <w:tcW w:w="2280"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p>
        </w:tc>
        <w:tc>
          <w:tcPr>
            <w:tcW w:w="2697" w:type="dxa"/>
          </w:tcPr>
          <w:p w:rsidR="00B23995" w:rsidRPr="00B46B92" w:rsidRDefault="00B23995" w:rsidP="00B23995">
            <w:pPr>
              <w:spacing w:after="160" w:line="259" w:lineRule="auto"/>
              <w:rPr>
                <w:rFonts w:ascii="Times New Roman" w:eastAsiaTheme="minorHAnsi" w:hAnsi="Times New Roman"/>
                <w:b/>
                <w:lang w:bidi="ar-SA"/>
              </w:rPr>
            </w:pPr>
          </w:p>
        </w:tc>
        <w:tc>
          <w:tcPr>
            <w:tcW w:w="2175" w:type="dxa"/>
          </w:tcPr>
          <w:p w:rsidR="00B23995" w:rsidRPr="00B46B92" w:rsidRDefault="00B23995" w:rsidP="00B23995">
            <w:pPr>
              <w:spacing w:after="160" w:line="259" w:lineRule="auto"/>
              <w:rPr>
                <w:rFonts w:ascii="Times New Roman" w:eastAsiaTheme="minorHAnsi" w:hAnsi="Times New Roman"/>
                <w:b/>
                <w:lang w:bidi="ar-SA"/>
              </w:rPr>
            </w:pPr>
          </w:p>
        </w:tc>
        <w:tc>
          <w:tcPr>
            <w:tcW w:w="2280" w:type="dxa"/>
          </w:tcPr>
          <w:p w:rsidR="00B23995" w:rsidRPr="00B46B92" w:rsidRDefault="00B23995" w:rsidP="00B23995">
            <w:pPr>
              <w:spacing w:after="160" w:line="259" w:lineRule="auto"/>
              <w:rPr>
                <w:rFonts w:ascii="Times New Roman" w:eastAsiaTheme="minorHAnsi" w:hAnsi="Times New Roman"/>
                <w:b/>
                <w:lang w:bidi="ar-SA"/>
              </w:rPr>
            </w:pPr>
          </w:p>
        </w:tc>
      </w:tr>
      <w:tr w:rsidR="00B23995" w:rsidRPr="00B46B92" w:rsidTr="00146758">
        <w:tc>
          <w:tcPr>
            <w:tcW w:w="2198" w:type="dxa"/>
          </w:tcPr>
          <w:p w:rsidR="00B23995" w:rsidRPr="00B46B92" w:rsidRDefault="00207922" w:rsidP="00B23995">
            <w:pPr>
              <w:spacing w:after="160" w:line="259" w:lineRule="auto"/>
              <w:rPr>
                <w:rFonts w:ascii="Times New Roman" w:eastAsiaTheme="minorHAnsi" w:hAnsi="Times New Roman"/>
                <w:b/>
                <w:lang w:bidi="ar-SA"/>
              </w:rPr>
            </w:pPr>
            <w:r w:rsidRPr="000C7EF9">
              <w:rPr>
                <w:rFonts w:ascii="Arial" w:hAnsi="Arial" w:cs="Arial"/>
                <w:b/>
                <w:sz w:val="22"/>
                <w:szCs w:val="22"/>
                <w:u w:val="single"/>
              </w:rPr>
              <w:t>Glades Emergency Medical Service:</w:t>
            </w:r>
          </w:p>
        </w:tc>
        <w:tc>
          <w:tcPr>
            <w:tcW w:w="2697"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hAnsi="Times New Roman"/>
              </w:rPr>
              <w:t>I</w:t>
            </w:r>
            <w:r w:rsidRPr="00800238">
              <w:rPr>
                <w:rFonts w:ascii="Times New Roman" w:hAnsi="Times New Roman"/>
              </w:rPr>
              <w:t xml:space="preserve">s </w:t>
            </w:r>
            <w:r w:rsidRPr="00800238">
              <w:rPr>
                <w:rStyle w:val="xbe"/>
                <w:rFonts w:ascii="Times New Roman" w:hAnsi="Times New Roman"/>
                <w:color w:val="222222"/>
                <w:lang w:val="en"/>
              </w:rPr>
              <w:t>not a receiving facility, but is responsible to evaluate, treat and transfer persons in need of mental health and addiction treatment as part of their emergency department. This is in accordance with federal (EMTALA) emergency care rules and the medical treatment aspect of the plan applies to Glades Emergency Medical</w:t>
            </w:r>
            <w:r>
              <w:rPr>
                <w:rStyle w:val="xbe"/>
                <w:rFonts w:ascii="Arial" w:hAnsi="Arial" w:cs="Arial"/>
                <w:color w:val="222222"/>
                <w:sz w:val="22"/>
                <w:szCs w:val="22"/>
                <w:lang w:val="en"/>
              </w:rPr>
              <w:t xml:space="preserve"> Services</w:t>
            </w:r>
            <w:r w:rsidRPr="000B25DA">
              <w:rPr>
                <w:rStyle w:val="xbe"/>
                <w:rFonts w:ascii="Arial" w:hAnsi="Arial" w:cs="Arial"/>
                <w:color w:val="222222"/>
                <w:sz w:val="22"/>
                <w:szCs w:val="22"/>
                <w:lang w:val="en"/>
              </w:rPr>
              <w:t>.</w:t>
            </w:r>
          </w:p>
        </w:tc>
        <w:tc>
          <w:tcPr>
            <w:tcW w:w="2175"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c>
          <w:tcPr>
            <w:tcW w:w="2280"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p>
        </w:tc>
        <w:tc>
          <w:tcPr>
            <w:tcW w:w="2697" w:type="dxa"/>
          </w:tcPr>
          <w:p w:rsidR="00B23995" w:rsidRPr="00B46B92" w:rsidRDefault="00B23995" w:rsidP="00B23995">
            <w:pPr>
              <w:spacing w:after="160" w:line="259" w:lineRule="auto"/>
              <w:rPr>
                <w:rFonts w:ascii="Times New Roman" w:eastAsiaTheme="minorHAnsi" w:hAnsi="Times New Roman"/>
                <w:b/>
                <w:lang w:bidi="ar-SA"/>
              </w:rPr>
            </w:pPr>
          </w:p>
        </w:tc>
        <w:tc>
          <w:tcPr>
            <w:tcW w:w="2175" w:type="dxa"/>
          </w:tcPr>
          <w:p w:rsidR="00B23995" w:rsidRPr="00B46B92" w:rsidRDefault="00B23995" w:rsidP="00B23995">
            <w:pPr>
              <w:spacing w:after="160" w:line="259" w:lineRule="auto"/>
              <w:rPr>
                <w:rFonts w:ascii="Times New Roman" w:eastAsiaTheme="minorHAnsi" w:hAnsi="Times New Roman"/>
                <w:b/>
                <w:lang w:bidi="ar-SA"/>
              </w:rPr>
            </w:pPr>
          </w:p>
        </w:tc>
        <w:tc>
          <w:tcPr>
            <w:tcW w:w="2280" w:type="dxa"/>
          </w:tcPr>
          <w:p w:rsidR="00B23995" w:rsidRPr="00B46B92" w:rsidRDefault="00B23995" w:rsidP="00B23995">
            <w:pPr>
              <w:spacing w:after="160" w:line="259" w:lineRule="auto"/>
              <w:rPr>
                <w:rFonts w:ascii="Times New Roman" w:eastAsiaTheme="minorHAnsi" w:hAnsi="Times New Roman"/>
                <w:b/>
                <w:lang w:bidi="ar-SA"/>
              </w:rPr>
            </w:pPr>
          </w:p>
        </w:tc>
      </w:tr>
      <w:tr w:rsidR="00B23995" w:rsidRPr="00B46B92" w:rsidTr="00F950F3">
        <w:tc>
          <w:tcPr>
            <w:tcW w:w="9350" w:type="dxa"/>
            <w:gridSpan w:val="4"/>
          </w:tcPr>
          <w:p w:rsidR="00B23995" w:rsidRPr="00B46B92" w:rsidRDefault="00B23995"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Triage Centers for Substance Use Disorders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175"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B23995" w:rsidRPr="00B46B92" w:rsidRDefault="00207922" w:rsidP="00B23995">
            <w:pPr>
              <w:spacing w:after="160" w:line="259" w:lineRule="auto"/>
              <w:rPr>
                <w:rFonts w:ascii="Times New Roman" w:eastAsiaTheme="minorHAnsi" w:hAnsi="Times New Roman"/>
                <w:b/>
                <w:lang w:bidi="ar-SA"/>
              </w:rPr>
            </w:pPr>
            <w:r>
              <w:rPr>
                <w:rFonts w:ascii="Arial" w:hAnsi="Arial" w:cs="Arial"/>
                <w:b/>
                <w:sz w:val="22"/>
                <w:szCs w:val="22"/>
                <w:u w:val="single"/>
              </w:rPr>
              <w:t>Jerome Golden Center</w:t>
            </w:r>
            <w:r w:rsidRPr="005D586F">
              <w:rPr>
                <w:rFonts w:asciiTheme="majorHAnsi" w:hAnsiTheme="majorHAnsi" w:cs="Arial"/>
                <w:b/>
                <w:sz w:val="22"/>
                <w:szCs w:val="22"/>
                <w:u w:val="single"/>
              </w:rPr>
              <w:t>:</w:t>
            </w:r>
            <w:r w:rsidRPr="005D586F">
              <w:rPr>
                <w:rFonts w:asciiTheme="majorHAnsi" w:hAnsiTheme="majorHAnsi" w:cs="Arial"/>
                <w:sz w:val="22"/>
                <w:szCs w:val="22"/>
                <w:u w:val="single"/>
              </w:rPr>
              <w:t xml:space="preserve"> </w:t>
            </w:r>
            <w:r w:rsidRPr="005D586F">
              <w:rPr>
                <w:sz w:val="22"/>
                <w:szCs w:val="22"/>
                <w:u w:val="single"/>
              </w:rPr>
              <w:t xml:space="preserve"> </w:t>
            </w:r>
            <w:r w:rsidRPr="005D586F">
              <w:rPr>
                <w:color w:val="000000"/>
                <w:sz w:val="22"/>
                <w:szCs w:val="22"/>
              </w:rPr>
              <w:t>located at</w:t>
            </w:r>
            <w:r w:rsidRPr="005D586F">
              <w:t xml:space="preserve"> 1041 45th Street</w:t>
            </w:r>
            <w:r>
              <w:t xml:space="preserve"> </w:t>
            </w:r>
            <w:r w:rsidRPr="005D586F">
              <w:t xml:space="preserve">West Palm Beach, Florida 33407 </w:t>
            </w:r>
            <w:r w:rsidRPr="005647A7">
              <w:rPr>
                <w:rStyle w:val="Strong"/>
                <w:rFonts w:eastAsiaTheme="majorEastAsia"/>
              </w:rPr>
              <w:t>561.383.8000</w:t>
            </w:r>
            <w:r w:rsidRPr="005D586F">
              <w:rPr>
                <w:color w:val="000000"/>
                <w:sz w:val="22"/>
                <w:szCs w:val="22"/>
              </w:rPr>
              <w:t xml:space="preserve"> – </w:t>
            </w:r>
            <w:r w:rsidRPr="005D586F">
              <w:t xml:space="preserve">The Center provides </w:t>
            </w:r>
            <w:r w:rsidRPr="005D586F">
              <w:lastRenderedPageBreak/>
              <w:t>acute and continuing care services to the severely and persistently mentally ill, those with acute psychiatric disorders, those with co-occu</w:t>
            </w:r>
            <w:r>
              <w:t>r</w:t>
            </w:r>
            <w:r w:rsidRPr="005D586F">
              <w:t>ring disorders ( primary diagnosis of mental illness and substance use disorder), and those in need of crisis support.</w:t>
            </w:r>
          </w:p>
        </w:tc>
        <w:tc>
          <w:tcPr>
            <w:tcW w:w="2697" w:type="dxa"/>
          </w:tcPr>
          <w:p w:rsidR="00B23995" w:rsidRPr="00207922" w:rsidRDefault="00207922" w:rsidP="00B23995">
            <w:pPr>
              <w:spacing w:after="160" w:line="259" w:lineRule="auto"/>
              <w:rPr>
                <w:rFonts w:ascii="Times New Roman" w:hAnsi="Times New Roman"/>
              </w:rPr>
            </w:pPr>
            <w:r w:rsidRPr="00207922">
              <w:rPr>
                <w:rFonts w:ascii="Times New Roman" w:hAnsi="Times New Roman"/>
              </w:rPr>
              <w:lastRenderedPageBreak/>
              <w:t>Outpatient services are available for those with less severe disorders.</w:t>
            </w:r>
          </w:p>
          <w:p w:rsidR="00207922" w:rsidRPr="005D586F" w:rsidRDefault="00207922" w:rsidP="00207922">
            <w:pPr>
              <w:pStyle w:val="NormalWeb"/>
              <w:rPr>
                <w:rFonts w:ascii="Arial" w:hAnsi="Arial" w:cs="Arial"/>
              </w:rPr>
            </w:pPr>
            <w:r w:rsidRPr="005D586F">
              <w:t xml:space="preserve">The continuum of behavioral health services to the community includes </w:t>
            </w:r>
            <w:r w:rsidRPr="005D586F">
              <w:lastRenderedPageBreak/>
              <w:t>emergency services, inpatient care, short-term therapy, psychiatric services, case management, group programs, housing and residential services among others</w:t>
            </w:r>
            <w:r w:rsidRPr="005D586F">
              <w:rPr>
                <w:rFonts w:ascii="Arial" w:hAnsi="Arial" w:cs="Arial"/>
              </w:rPr>
              <w:t>.</w:t>
            </w:r>
          </w:p>
          <w:p w:rsidR="00207922" w:rsidRPr="00B46B92" w:rsidRDefault="00207922" w:rsidP="00B23995">
            <w:pPr>
              <w:spacing w:after="160" w:line="259" w:lineRule="auto"/>
              <w:rPr>
                <w:rFonts w:ascii="Times New Roman" w:eastAsiaTheme="minorHAnsi" w:hAnsi="Times New Roman"/>
                <w:b/>
                <w:lang w:bidi="ar-SA"/>
              </w:rPr>
            </w:pPr>
          </w:p>
        </w:tc>
        <w:tc>
          <w:tcPr>
            <w:tcW w:w="2175"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lastRenderedPageBreak/>
              <w:t>Yes</w:t>
            </w:r>
          </w:p>
        </w:tc>
        <w:tc>
          <w:tcPr>
            <w:tcW w:w="2280" w:type="dxa"/>
          </w:tcPr>
          <w:p w:rsidR="00B23995" w:rsidRPr="00B46B92" w:rsidRDefault="00207922"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p>
        </w:tc>
        <w:tc>
          <w:tcPr>
            <w:tcW w:w="2697" w:type="dxa"/>
          </w:tcPr>
          <w:p w:rsidR="00B23995" w:rsidRPr="00B46B92" w:rsidRDefault="00B23995" w:rsidP="00B23995">
            <w:pPr>
              <w:spacing w:after="160" w:line="259" w:lineRule="auto"/>
              <w:rPr>
                <w:rFonts w:ascii="Times New Roman" w:eastAsiaTheme="minorHAnsi" w:hAnsi="Times New Roman"/>
                <w:b/>
                <w:lang w:bidi="ar-SA"/>
              </w:rPr>
            </w:pPr>
          </w:p>
        </w:tc>
        <w:tc>
          <w:tcPr>
            <w:tcW w:w="2175" w:type="dxa"/>
          </w:tcPr>
          <w:p w:rsidR="00B23995" w:rsidRPr="00B46B92" w:rsidRDefault="00B23995" w:rsidP="00B23995">
            <w:pPr>
              <w:spacing w:after="160" w:line="259" w:lineRule="auto"/>
              <w:rPr>
                <w:rFonts w:ascii="Times New Roman" w:eastAsiaTheme="minorHAnsi" w:hAnsi="Times New Roman"/>
                <w:b/>
                <w:lang w:bidi="ar-SA"/>
              </w:rPr>
            </w:pPr>
          </w:p>
        </w:tc>
        <w:tc>
          <w:tcPr>
            <w:tcW w:w="2280" w:type="dxa"/>
          </w:tcPr>
          <w:p w:rsidR="00B23995" w:rsidRPr="00B46B92" w:rsidRDefault="00B23995" w:rsidP="00B23995">
            <w:pPr>
              <w:spacing w:after="160" w:line="259" w:lineRule="auto"/>
              <w:rPr>
                <w:rFonts w:ascii="Times New Roman" w:eastAsiaTheme="minorHAnsi" w:hAnsi="Times New Roman"/>
                <w:b/>
                <w:lang w:bidi="ar-SA"/>
              </w:rPr>
            </w:pPr>
          </w:p>
        </w:tc>
      </w:tr>
      <w:tr w:rsidR="00B23995" w:rsidRPr="00B46B92" w:rsidTr="00A0160A">
        <w:tc>
          <w:tcPr>
            <w:tcW w:w="9350" w:type="dxa"/>
            <w:gridSpan w:val="4"/>
          </w:tcPr>
          <w:p w:rsidR="00B23995" w:rsidRPr="00B46B92" w:rsidRDefault="00B23995"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Involuntary Treatment for Mental Health Disorders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175"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B23995" w:rsidRPr="00B46B92" w:rsidRDefault="00207922" w:rsidP="00B23995">
            <w:pPr>
              <w:spacing w:after="160" w:line="259" w:lineRule="auto"/>
              <w:rPr>
                <w:rFonts w:ascii="Times New Roman" w:eastAsiaTheme="minorHAnsi" w:hAnsi="Times New Roman"/>
                <w:b/>
                <w:lang w:bidi="ar-SA"/>
              </w:rPr>
            </w:pPr>
            <w:r>
              <w:rPr>
                <w:rFonts w:ascii="Arial" w:hAnsi="Arial" w:cs="Arial"/>
                <w:b/>
                <w:sz w:val="22"/>
                <w:szCs w:val="22"/>
                <w:u w:val="single"/>
              </w:rPr>
              <w:t>Jerome Golden Center</w:t>
            </w:r>
            <w:r w:rsidRPr="005D586F">
              <w:rPr>
                <w:rFonts w:asciiTheme="majorHAnsi" w:hAnsiTheme="majorHAnsi" w:cs="Arial"/>
                <w:b/>
                <w:sz w:val="22"/>
                <w:szCs w:val="22"/>
                <w:u w:val="single"/>
              </w:rPr>
              <w:t>:</w:t>
            </w:r>
            <w:r w:rsidRPr="005D586F">
              <w:rPr>
                <w:rFonts w:asciiTheme="majorHAnsi" w:hAnsiTheme="majorHAnsi" w:cs="Arial"/>
                <w:sz w:val="22"/>
                <w:szCs w:val="22"/>
                <w:u w:val="single"/>
              </w:rPr>
              <w:t xml:space="preserve"> </w:t>
            </w:r>
            <w:r w:rsidRPr="005D586F">
              <w:rPr>
                <w:sz w:val="22"/>
                <w:szCs w:val="22"/>
                <w:u w:val="single"/>
              </w:rPr>
              <w:t xml:space="preserve"> </w:t>
            </w:r>
            <w:r w:rsidRPr="005D586F">
              <w:rPr>
                <w:color w:val="000000"/>
                <w:sz w:val="22"/>
                <w:szCs w:val="22"/>
              </w:rPr>
              <w:t>located at</w:t>
            </w:r>
            <w:r w:rsidRPr="005D586F">
              <w:t xml:space="preserve"> 1041 45th Street</w:t>
            </w:r>
            <w:r>
              <w:t xml:space="preserve"> </w:t>
            </w:r>
            <w:r w:rsidRPr="005D586F">
              <w:t xml:space="preserve">West Palm Beach, Florida 33407 </w:t>
            </w:r>
            <w:r w:rsidRPr="00207922">
              <w:rPr>
                <w:rStyle w:val="Strong"/>
                <w:rFonts w:eastAsiaTheme="majorEastAsia"/>
                <w:b w:val="0"/>
              </w:rPr>
              <w:t>561.383.8000</w:t>
            </w:r>
          </w:p>
        </w:tc>
        <w:tc>
          <w:tcPr>
            <w:tcW w:w="2697" w:type="dxa"/>
          </w:tcPr>
          <w:p w:rsidR="00B23995" w:rsidRPr="00B46B92" w:rsidRDefault="00B23995" w:rsidP="00B23995">
            <w:pPr>
              <w:spacing w:after="160" w:line="259" w:lineRule="auto"/>
              <w:rPr>
                <w:rFonts w:ascii="Times New Roman" w:eastAsiaTheme="minorHAnsi" w:hAnsi="Times New Roman"/>
                <w:b/>
                <w:lang w:bidi="ar-SA"/>
              </w:rPr>
            </w:pPr>
          </w:p>
        </w:tc>
        <w:tc>
          <w:tcPr>
            <w:tcW w:w="2175" w:type="dxa"/>
          </w:tcPr>
          <w:p w:rsidR="00B23995" w:rsidRPr="00B46B92" w:rsidRDefault="00E61CAA"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c>
          <w:tcPr>
            <w:tcW w:w="2280" w:type="dxa"/>
          </w:tcPr>
          <w:p w:rsidR="00B23995" w:rsidRPr="00B46B92" w:rsidRDefault="00E61CAA" w:rsidP="00B23995">
            <w:pPr>
              <w:spacing w:after="160" w:line="259" w:lineRule="auto"/>
              <w:rPr>
                <w:rFonts w:ascii="Times New Roman" w:eastAsiaTheme="minorHAnsi" w:hAnsi="Times New Roman"/>
                <w:b/>
                <w:lang w:bidi="ar-SA"/>
              </w:rPr>
            </w:pPr>
            <w:r>
              <w:rPr>
                <w:rFonts w:ascii="Times New Roman" w:eastAsiaTheme="minorHAnsi" w:hAnsi="Times New Roman"/>
                <w:b/>
                <w:lang w:bidi="ar-SA"/>
              </w:rPr>
              <w:t>Yes</w:t>
            </w:r>
          </w:p>
        </w:tc>
      </w:tr>
      <w:tr w:rsidR="006943EF" w:rsidRPr="00B46B92" w:rsidTr="00146758">
        <w:tc>
          <w:tcPr>
            <w:tcW w:w="2198" w:type="dxa"/>
          </w:tcPr>
          <w:p w:rsidR="006943EF" w:rsidRPr="00B46B92" w:rsidRDefault="006943EF" w:rsidP="00B23995">
            <w:pPr>
              <w:spacing w:after="160" w:line="259" w:lineRule="auto"/>
              <w:rPr>
                <w:rFonts w:ascii="Times New Roman" w:eastAsiaTheme="minorHAnsi" w:hAnsi="Times New Roman"/>
                <w:b/>
                <w:lang w:bidi="ar-SA"/>
              </w:rPr>
            </w:pPr>
          </w:p>
        </w:tc>
        <w:tc>
          <w:tcPr>
            <w:tcW w:w="2697" w:type="dxa"/>
          </w:tcPr>
          <w:p w:rsidR="006943EF" w:rsidRPr="00B46B92" w:rsidRDefault="006943EF" w:rsidP="00B23995">
            <w:pPr>
              <w:spacing w:after="160" w:line="259" w:lineRule="auto"/>
              <w:rPr>
                <w:rFonts w:ascii="Times New Roman" w:eastAsiaTheme="minorHAnsi" w:hAnsi="Times New Roman"/>
                <w:b/>
                <w:lang w:bidi="ar-SA"/>
              </w:rPr>
            </w:pPr>
          </w:p>
        </w:tc>
        <w:tc>
          <w:tcPr>
            <w:tcW w:w="2175" w:type="dxa"/>
          </w:tcPr>
          <w:p w:rsidR="006943EF" w:rsidRPr="00B46B92" w:rsidRDefault="006943EF" w:rsidP="00B23995">
            <w:pPr>
              <w:spacing w:after="160" w:line="259" w:lineRule="auto"/>
              <w:rPr>
                <w:rFonts w:ascii="Times New Roman" w:eastAsiaTheme="minorHAnsi" w:hAnsi="Times New Roman"/>
                <w:b/>
                <w:lang w:bidi="ar-SA"/>
              </w:rPr>
            </w:pPr>
          </w:p>
        </w:tc>
        <w:tc>
          <w:tcPr>
            <w:tcW w:w="2280" w:type="dxa"/>
          </w:tcPr>
          <w:p w:rsidR="006943EF" w:rsidRPr="00B46B92" w:rsidRDefault="006943EF" w:rsidP="00B23995">
            <w:pPr>
              <w:spacing w:after="160" w:line="259" w:lineRule="auto"/>
              <w:rPr>
                <w:rFonts w:ascii="Times New Roman" w:eastAsiaTheme="minorHAnsi" w:hAnsi="Times New Roman"/>
                <w:b/>
                <w:lang w:bidi="ar-SA"/>
              </w:rPr>
            </w:pPr>
          </w:p>
        </w:tc>
      </w:tr>
      <w:tr w:rsidR="00B23995" w:rsidRPr="00B46B92" w:rsidTr="007358D2">
        <w:tc>
          <w:tcPr>
            <w:tcW w:w="9350" w:type="dxa"/>
            <w:gridSpan w:val="4"/>
          </w:tcPr>
          <w:p w:rsidR="00B23995" w:rsidRPr="00B46B92" w:rsidRDefault="00B23995" w:rsidP="00B23995">
            <w:pPr>
              <w:spacing w:after="160" w:line="259" w:lineRule="auto"/>
              <w:jc w:val="center"/>
              <w:rPr>
                <w:rFonts w:ascii="Times New Roman" w:eastAsiaTheme="minorHAnsi" w:hAnsi="Times New Roman"/>
                <w:b/>
                <w:lang w:bidi="ar-SA"/>
              </w:rPr>
            </w:pPr>
            <w:r w:rsidRPr="00B46B92">
              <w:rPr>
                <w:rFonts w:ascii="Times New Roman" w:eastAsiaTheme="minorHAnsi" w:hAnsi="Times New Roman"/>
                <w:b/>
                <w:lang w:bidi="ar-SA"/>
              </w:rPr>
              <w:t>Involuntary Treatment for Substance Use Disorders</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Facility </w:t>
            </w:r>
          </w:p>
        </w:tc>
        <w:tc>
          <w:tcPr>
            <w:tcW w:w="2697"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Capabilities/Limitations</w:t>
            </w:r>
          </w:p>
        </w:tc>
        <w:tc>
          <w:tcPr>
            <w:tcW w:w="2175"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 xml:space="preserve">Does the facility have agreements to accept </w:t>
            </w:r>
            <w:r w:rsidR="00146758">
              <w:rPr>
                <w:rFonts w:ascii="Times New Roman" w:eastAsiaTheme="minorHAnsi" w:hAnsi="Times New Roman"/>
                <w:b/>
                <w:lang w:bidi="ar-SA"/>
              </w:rPr>
              <w:t xml:space="preserve">BHRS </w:t>
            </w:r>
            <w:r w:rsidRPr="00B46B92">
              <w:rPr>
                <w:rFonts w:ascii="Times New Roman" w:eastAsiaTheme="minorHAnsi" w:hAnsi="Times New Roman"/>
                <w:b/>
                <w:lang w:bidi="ar-SA"/>
              </w:rPr>
              <w:t>Patients</w:t>
            </w:r>
            <w:r w:rsidR="00B46B92">
              <w:rPr>
                <w:rFonts w:ascii="Times New Roman" w:eastAsiaTheme="minorHAnsi" w:hAnsi="Times New Roman"/>
                <w:b/>
                <w:lang w:bidi="ar-SA"/>
              </w:rPr>
              <w:t>?</w:t>
            </w:r>
          </w:p>
        </w:tc>
        <w:tc>
          <w:tcPr>
            <w:tcW w:w="2280" w:type="dxa"/>
          </w:tcPr>
          <w:p w:rsidR="00B23995" w:rsidRPr="00B46B92" w:rsidRDefault="00B23995" w:rsidP="00B23995">
            <w:pPr>
              <w:spacing w:after="160" w:line="259" w:lineRule="auto"/>
              <w:rPr>
                <w:rFonts w:ascii="Times New Roman" w:eastAsiaTheme="minorHAnsi" w:hAnsi="Times New Roman"/>
                <w:b/>
                <w:lang w:bidi="ar-SA"/>
              </w:rPr>
            </w:pPr>
            <w:r w:rsidRPr="00B46B92">
              <w:rPr>
                <w:rFonts w:ascii="Times New Roman" w:eastAsiaTheme="minorHAnsi" w:hAnsi="Times New Roman"/>
                <w:b/>
                <w:lang w:bidi="ar-SA"/>
              </w:rPr>
              <w:t>Substance Use Disorders/Mental Health Disorders/Co-Occurring?</w:t>
            </w:r>
          </w:p>
        </w:tc>
      </w:tr>
      <w:tr w:rsidR="00B23995" w:rsidRPr="00B46B92" w:rsidTr="00146758">
        <w:tc>
          <w:tcPr>
            <w:tcW w:w="2198" w:type="dxa"/>
          </w:tcPr>
          <w:p w:rsidR="00B23995" w:rsidRPr="00B46B92" w:rsidRDefault="00E61CAA" w:rsidP="00B23995">
            <w:pPr>
              <w:spacing w:after="160" w:line="259" w:lineRule="auto"/>
              <w:rPr>
                <w:rFonts w:ascii="Times New Roman" w:eastAsiaTheme="minorHAnsi" w:hAnsi="Times New Roman"/>
                <w:lang w:bidi="ar-SA"/>
              </w:rPr>
            </w:pPr>
            <w:r>
              <w:rPr>
                <w:rFonts w:ascii="Arial" w:hAnsi="Arial" w:cs="Arial"/>
                <w:b/>
                <w:sz w:val="22"/>
                <w:szCs w:val="22"/>
                <w:u w:val="single"/>
              </w:rPr>
              <w:lastRenderedPageBreak/>
              <w:t>Jerome Golden Center</w:t>
            </w:r>
            <w:r w:rsidRPr="005D586F">
              <w:rPr>
                <w:rFonts w:asciiTheme="majorHAnsi" w:hAnsiTheme="majorHAnsi" w:cs="Arial"/>
                <w:b/>
                <w:sz w:val="22"/>
                <w:szCs w:val="22"/>
                <w:u w:val="single"/>
              </w:rPr>
              <w:t>:</w:t>
            </w:r>
            <w:r w:rsidRPr="005D586F">
              <w:rPr>
                <w:rFonts w:asciiTheme="majorHAnsi" w:hAnsiTheme="majorHAnsi" w:cs="Arial"/>
                <w:sz w:val="22"/>
                <w:szCs w:val="22"/>
                <w:u w:val="single"/>
              </w:rPr>
              <w:t xml:space="preserve"> </w:t>
            </w:r>
            <w:r w:rsidRPr="005D586F">
              <w:rPr>
                <w:sz w:val="22"/>
                <w:szCs w:val="22"/>
                <w:u w:val="single"/>
              </w:rPr>
              <w:t xml:space="preserve"> </w:t>
            </w:r>
            <w:r w:rsidRPr="005D586F">
              <w:rPr>
                <w:color w:val="000000"/>
                <w:sz w:val="22"/>
                <w:szCs w:val="22"/>
              </w:rPr>
              <w:t>located at</w:t>
            </w:r>
            <w:r w:rsidRPr="005D586F">
              <w:t xml:space="preserve"> 1041 45th Street</w:t>
            </w:r>
            <w:r>
              <w:t xml:space="preserve"> </w:t>
            </w:r>
            <w:r w:rsidRPr="005D586F">
              <w:t xml:space="preserve">West Palm Beach, Florida 33407 </w:t>
            </w:r>
            <w:r w:rsidRPr="00E61CAA">
              <w:rPr>
                <w:rStyle w:val="Strong"/>
                <w:rFonts w:eastAsiaTheme="majorEastAsia"/>
                <w:b w:val="0"/>
              </w:rPr>
              <w:t>561.383.8000</w:t>
            </w:r>
          </w:p>
        </w:tc>
        <w:tc>
          <w:tcPr>
            <w:tcW w:w="2697" w:type="dxa"/>
          </w:tcPr>
          <w:p w:rsidR="00B23995" w:rsidRPr="00B46B92" w:rsidRDefault="00E61CAA" w:rsidP="00B23995">
            <w:pPr>
              <w:spacing w:after="160" w:line="259" w:lineRule="auto"/>
              <w:rPr>
                <w:rFonts w:ascii="Times New Roman" w:eastAsiaTheme="minorHAnsi" w:hAnsi="Times New Roman"/>
                <w:lang w:bidi="ar-SA"/>
              </w:rPr>
            </w:pPr>
            <w:r>
              <w:rPr>
                <w:rFonts w:ascii="Times New Roman" w:eastAsiaTheme="minorHAnsi" w:hAnsi="Times New Roman"/>
                <w:lang w:bidi="ar-SA"/>
              </w:rPr>
              <w:t xml:space="preserve">Limitation: not a </w:t>
            </w:r>
            <w:proofErr w:type="spellStart"/>
            <w:r>
              <w:rPr>
                <w:rFonts w:ascii="Times New Roman" w:eastAsiaTheme="minorHAnsi" w:hAnsi="Times New Roman"/>
                <w:lang w:bidi="ar-SA"/>
              </w:rPr>
              <w:t>Marchman</w:t>
            </w:r>
            <w:proofErr w:type="spellEnd"/>
            <w:r>
              <w:rPr>
                <w:rFonts w:ascii="Times New Roman" w:eastAsiaTheme="minorHAnsi" w:hAnsi="Times New Roman"/>
                <w:lang w:bidi="ar-SA"/>
              </w:rPr>
              <w:t xml:space="preserve"> Act Facility</w:t>
            </w:r>
          </w:p>
        </w:tc>
        <w:tc>
          <w:tcPr>
            <w:tcW w:w="2175" w:type="dxa"/>
          </w:tcPr>
          <w:p w:rsidR="00B23995" w:rsidRPr="00B46B92" w:rsidRDefault="00E61CAA" w:rsidP="00B23995">
            <w:pPr>
              <w:spacing w:after="160" w:line="259" w:lineRule="auto"/>
              <w:rPr>
                <w:rFonts w:ascii="Times New Roman" w:eastAsiaTheme="minorHAnsi" w:hAnsi="Times New Roman"/>
                <w:lang w:bidi="ar-SA"/>
              </w:rPr>
            </w:pPr>
            <w:r>
              <w:rPr>
                <w:rFonts w:ascii="Times New Roman" w:eastAsiaTheme="minorHAnsi" w:hAnsi="Times New Roman"/>
                <w:lang w:bidi="ar-SA"/>
              </w:rPr>
              <w:t>No</w:t>
            </w:r>
          </w:p>
        </w:tc>
        <w:tc>
          <w:tcPr>
            <w:tcW w:w="2280" w:type="dxa"/>
          </w:tcPr>
          <w:p w:rsidR="00B23995" w:rsidRPr="00B46B92" w:rsidRDefault="00E61CAA" w:rsidP="00B23995">
            <w:pPr>
              <w:spacing w:after="160" w:line="259" w:lineRule="auto"/>
              <w:rPr>
                <w:rFonts w:ascii="Times New Roman" w:eastAsiaTheme="minorHAnsi" w:hAnsi="Times New Roman"/>
                <w:lang w:bidi="ar-SA"/>
              </w:rPr>
            </w:pPr>
            <w:r>
              <w:rPr>
                <w:rFonts w:ascii="Times New Roman" w:eastAsiaTheme="minorHAnsi" w:hAnsi="Times New Roman"/>
                <w:lang w:bidi="ar-SA"/>
              </w:rPr>
              <w:t>No</w:t>
            </w:r>
          </w:p>
        </w:tc>
      </w:tr>
      <w:tr w:rsidR="00B23995" w:rsidRPr="00B46B92" w:rsidTr="00146758">
        <w:tc>
          <w:tcPr>
            <w:tcW w:w="2198" w:type="dxa"/>
          </w:tcPr>
          <w:p w:rsidR="00B23995" w:rsidRPr="00B46B92" w:rsidRDefault="00B23995" w:rsidP="00B23995">
            <w:pPr>
              <w:spacing w:after="160" w:line="259" w:lineRule="auto"/>
              <w:rPr>
                <w:rFonts w:ascii="Times New Roman" w:eastAsiaTheme="minorHAnsi" w:hAnsi="Times New Roman"/>
                <w:lang w:bidi="ar-SA"/>
              </w:rPr>
            </w:pPr>
          </w:p>
        </w:tc>
        <w:tc>
          <w:tcPr>
            <w:tcW w:w="2697" w:type="dxa"/>
          </w:tcPr>
          <w:p w:rsidR="00B23995" w:rsidRPr="00B46B92" w:rsidRDefault="00B23995" w:rsidP="00B23995">
            <w:pPr>
              <w:spacing w:after="160" w:line="259" w:lineRule="auto"/>
              <w:rPr>
                <w:rFonts w:ascii="Times New Roman" w:eastAsiaTheme="minorHAnsi" w:hAnsi="Times New Roman"/>
                <w:lang w:bidi="ar-SA"/>
              </w:rPr>
            </w:pPr>
          </w:p>
        </w:tc>
        <w:tc>
          <w:tcPr>
            <w:tcW w:w="2175" w:type="dxa"/>
          </w:tcPr>
          <w:p w:rsidR="00B23995" w:rsidRPr="00B46B92" w:rsidRDefault="00B23995" w:rsidP="00B23995">
            <w:pPr>
              <w:spacing w:after="160" w:line="259" w:lineRule="auto"/>
              <w:rPr>
                <w:rFonts w:ascii="Times New Roman" w:eastAsiaTheme="minorHAnsi" w:hAnsi="Times New Roman"/>
                <w:lang w:bidi="ar-SA"/>
              </w:rPr>
            </w:pPr>
          </w:p>
        </w:tc>
        <w:tc>
          <w:tcPr>
            <w:tcW w:w="2280" w:type="dxa"/>
          </w:tcPr>
          <w:p w:rsidR="00B23995" w:rsidRPr="00B46B92" w:rsidRDefault="00B23995" w:rsidP="00B23995">
            <w:pPr>
              <w:spacing w:after="160" w:line="259" w:lineRule="auto"/>
              <w:rPr>
                <w:rFonts w:ascii="Times New Roman" w:eastAsiaTheme="minorHAnsi" w:hAnsi="Times New Roman"/>
                <w:lang w:bidi="ar-SA"/>
              </w:rPr>
            </w:pPr>
          </w:p>
        </w:tc>
      </w:tr>
    </w:tbl>
    <w:p w:rsidR="00272E10" w:rsidRDefault="00272E10" w:rsidP="00272E10">
      <w:pPr>
        <w:spacing w:after="160" w:line="259" w:lineRule="auto"/>
        <w:rPr>
          <w:rFonts w:eastAsiaTheme="minorHAnsi" w:cstheme="minorBidi"/>
          <w:lang w:bidi="ar-SA"/>
        </w:rPr>
      </w:pPr>
    </w:p>
    <w:p w:rsidR="00272E10" w:rsidRDefault="00272E10" w:rsidP="00272E10">
      <w:pPr>
        <w:spacing w:after="160" w:line="259" w:lineRule="auto"/>
        <w:rPr>
          <w:rFonts w:eastAsiaTheme="minorHAnsi" w:cstheme="minorBidi"/>
          <w:lang w:bidi="ar-SA"/>
        </w:rPr>
      </w:pPr>
    </w:p>
    <w:p w:rsidR="00E61CAA" w:rsidRDefault="00E61CAA" w:rsidP="00272E10">
      <w:pPr>
        <w:spacing w:after="160" w:line="259" w:lineRule="auto"/>
        <w:rPr>
          <w:rFonts w:ascii="Times New Roman" w:eastAsiaTheme="minorHAnsi" w:hAnsi="Times New Roman"/>
          <w:b/>
          <w:lang w:bidi="ar-SA"/>
        </w:rPr>
      </w:pPr>
    </w:p>
    <w:p w:rsidR="00E61CAA" w:rsidRDefault="00E61CAA" w:rsidP="00272E10">
      <w:pPr>
        <w:spacing w:after="160" w:line="259" w:lineRule="auto"/>
        <w:rPr>
          <w:rFonts w:ascii="Times New Roman" w:eastAsiaTheme="minorHAnsi" w:hAnsi="Times New Roman"/>
          <w:b/>
          <w:lang w:bidi="ar-SA"/>
        </w:rPr>
      </w:pPr>
    </w:p>
    <w:p w:rsidR="00D655BE" w:rsidRPr="003D766F" w:rsidRDefault="003D766F" w:rsidP="00272E10">
      <w:pPr>
        <w:spacing w:after="160" w:line="259" w:lineRule="auto"/>
        <w:rPr>
          <w:rFonts w:ascii="Times New Roman" w:eastAsiaTheme="minorHAnsi" w:hAnsi="Times New Roman"/>
          <w:b/>
          <w:lang w:bidi="ar-SA"/>
        </w:rPr>
      </w:pPr>
      <w:r w:rsidRPr="003D766F">
        <w:rPr>
          <w:rFonts w:ascii="Times New Roman" w:eastAsiaTheme="minorHAnsi" w:hAnsi="Times New Roman"/>
          <w:b/>
          <w:lang w:bidi="ar-SA"/>
        </w:rPr>
        <w:t>IV.</w:t>
      </w:r>
      <w:r w:rsidRPr="003D766F">
        <w:rPr>
          <w:rFonts w:ascii="Times New Roman" w:eastAsiaTheme="minorHAnsi" w:hAnsi="Times New Roman"/>
          <w:b/>
          <w:lang w:bidi="ar-SA"/>
        </w:rPr>
        <w:tab/>
      </w:r>
      <w:r w:rsidR="00146758">
        <w:rPr>
          <w:rFonts w:ascii="Times New Roman" w:eastAsiaTheme="minorHAnsi" w:hAnsi="Times New Roman"/>
          <w:b/>
          <w:lang w:bidi="ar-SA"/>
        </w:rPr>
        <w:t xml:space="preserve">Behavioral Health Receiving System </w:t>
      </w:r>
      <w:r w:rsidR="004F3065">
        <w:rPr>
          <w:rFonts w:ascii="Times New Roman" w:eastAsiaTheme="minorHAnsi" w:hAnsi="Times New Roman"/>
          <w:b/>
          <w:lang w:bidi="ar-SA"/>
        </w:rPr>
        <w:t>(</w:t>
      </w:r>
      <w:r w:rsidR="00146758">
        <w:rPr>
          <w:rFonts w:ascii="Times New Roman" w:eastAsiaTheme="minorHAnsi" w:hAnsi="Times New Roman"/>
          <w:b/>
          <w:lang w:bidi="ar-SA"/>
        </w:rPr>
        <w:t>BHRS</w:t>
      </w:r>
      <w:r w:rsidR="004F3065">
        <w:rPr>
          <w:rFonts w:ascii="Times New Roman" w:eastAsiaTheme="minorHAnsi" w:hAnsi="Times New Roman"/>
          <w:b/>
          <w:lang w:bidi="ar-SA"/>
        </w:rPr>
        <w:t>)</w:t>
      </w:r>
      <w:r w:rsidRPr="003D766F">
        <w:rPr>
          <w:rFonts w:ascii="Times New Roman" w:eastAsiaTheme="minorHAnsi" w:hAnsi="Times New Roman"/>
          <w:b/>
          <w:lang w:bidi="ar-SA"/>
        </w:rPr>
        <w:t xml:space="preserve"> Agreements</w:t>
      </w:r>
    </w:p>
    <w:p w:rsidR="00E61CAA" w:rsidRDefault="00E61CAA" w:rsidP="00E61CAA">
      <w:pPr>
        <w:spacing w:after="160" w:line="259" w:lineRule="auto"/>
        <w:rPr>
          <w:rFonts w:ascii="Times New Roman" w:eastAsiaTheme="minorHAnsi" w:hAnsi="Times New Roman"/>
          <w:lang w:bidi="ar-SA"/>
        </w:rPr>
      </w:pPr>
      <w:r>
        <w:rPr>
          <w:rFonts w:ascii="Times New Roman" w:eastAsiaTheme="minorHAnsi" w:hAnsi="Times New Roman"/>
          <w:lang w:bidi="ar-SA"/>
        </w:rPr>
        <w:t>Informal agreements are in place with each designated receiving facility, local law enforcement agencies, and local hospital emergency departments. Utilization of signed releases of information allows for shared data and care coordination.</w:t>
      </w:r>
    </w:p>
    <w:p w:rsidR="00E61CAA" w:rsidRDefault="00E61CAA" w:rsidP="00E61CAA">
      <w:pPr>
        <w:spacing w:after="160" w:line="259" w:lineRule="auto"/>
        <w:rPr>
          <w:rFonts w:ascii="Times New Roman" w:eastAsiaTheme="minorHAnsi" w:hAnsi="Times New Roman"/>
          <w:lang w:bidi="ar-SA"/>
        </w:rPr>
      </w:pPr>
      <w:r>
        <w:rPr>
          <w:rFonts w:ascii="Times New Roman" w:eastAsiaTheme="minorHAnsi" w:hAnsi="Times New Roman"/>
          <w:lang w:bidi="ar-SA"/>
        </w:rPr>
        <w:t xml:space="preserve">Memorandums of Understanding are not currently in place within the designated receiving system for </w:t>
      </w:r>
      <w:r>
        <w:rPr>
          <w:rFonts w:ascii="Times New Roman" w:eastAsiaTheme="minorHAnsi" w:hAnsi="Times New Roman"/>
          <w:lang w:bidi="ar-SA"/>
        </w:rPr>
        <w:t>Glades</w:t>
      </w:r>
      <w:r>
        <w:rPr>
          <w:rFonts w:ascii="Times New Roman" w:eastAsiaTheme="minorHAnsi" w:hAnsi="Times New Roman"/>
          <w:lang w:bidi="ar-SA"/>
        </w:rPr>
        <w:t xml:space="preserve"> County. </w:t>
      </w:r>
    </w:p>
    <w:p w:rsidR="00B46B92" w:rsidRPr="00B46B92" w:rsidRDefault="00B46B92" w:rsidP="00272E10">
      <w:pPr>
        <w:spacing w:after="160" w:line="259" w:lineRule="auto"/>
        <w:rPr>
          <w:rFonts w:ascii="Times New Roman" w:eastAsiaTheme="minorHAnsi" w:hAnsi="Times New Roman"/>
          <w:lang w:bidi="ar-SA"/>
        </w:rPr>
      </w:pPr>
    </w:p>
    <w:p w:rsidR="004F1359" w:rsidRPr="00B46B92" w:rsidRDefault="004F1359" w:rsidP="004F1359">
      <w:pPr>
        <w:rPr>
          <w:rFonts w:ascii="Times New Roman" w:hAnsi="Times New Roman"/>
        </w:rPr>
      </w:pPr>
    </w:p>
    <w:sectPr w:rsidR="004F1359" w:rsidRPr="00B4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DF3"/>
    <w:multiLevelType w:val="hybridMultilevel"/>
    <w:tmpl w:val="372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C1496"/>
    <w:multiLevelType w:val="hybridMultilevel"/>
    <w:tmpl w:val="4E5C94A8"/>
    <w:lvl w:ilvl="0" w:tplc="814CB5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97CC4"/>
    <w:multiLevelType w:val="hybridMultilevel"/>
    <w:tmpl w:val="2250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F0997"/>
    <w:multiLevelType w:val="hybridMultilevel"/>
    <w:tmpl w:val="2480D022"/>
    <w:lvl w:ilvl="0" w:tplc="6F8A5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5237A"/>
    <w:multiLevelType w:val="hybridMultilevel"/>
    <w:tmpl w:val="45229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B45E5"/>
    <w:multiLevelType w:val="hybridMultilevel"/>
    <w:tmpl w:val="28C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59"/>
    <w:rsid w:val="0000136C"/>
    <w:rsid w:val="00010B6A"/>
    <w:rsid w:val="00017279"/>
    <w:rsid w:val="00050893"/>
    <w:rsid w:val="00064E4D"/>
    <w:rsid w:val="00067BD1"/>
    <w:rsid w:val="00083408"/>
    <w:rsid w:val="000A2242"/>
    <w:rsid w:val="000C41A1"/>
    <w:rsid w:val="000D36CF"/>
    <w:rsid w:val="000F0582"/>
    <w:rsid w:val="001031B5"/>
    <w:rsid w:val="001303EC"/>
    <w:rsid w:val="00146758"/>
    <w:rsid w:val="0015296F"/>
    <w:rsid w:val="00193BD5"/>
    <w:rsid w:val="0020339E"/>
    <w:rsid w:val="00204792"/>
    <w:rsid w:val="00207922"/>
    <w:rsid w:val="0021576F"/>
    <w:rsid w:val="00223C35"/>
    <w:rsid w:val="002664F3"/>
    <w:rsid w:val="00272E10"/>
    <w:rsid w:val="00280F77"/>
    <w:rsid w:val="0029760C"/>
    <w:rsid w:val="002A3FE5"/>
    <w:rsid w:val="00325505"/>
    <w:rsid w:val="003437A5"/>
    <w:rsid w:val="0037292F"/>
    <w:rsid w:val="00377D88"/>
    <w:rsid w:val="00391DF9"/>
    <w:rsid w:val="003A6866"/>
    <w:rsid w:val="003B11AD"/>
    <w:rsid w:val="003B48E0"/>
    <w:rsid w:val="003C2704"/>
    <w:rsid w:val="003D1ED8"/>
    <w:rsid w:val="003D766F"/>
    <w:rsid w:val="003E02DA"/>
    <w:rsid w:val="003E29C2"/>
    <w:rsid w:val="003F24E6"/>
    <w:rsid w:val="00425CF3"/>
    <w:rsid w:val="00460A72"/>
    <w:rsid w:val="004916D1"/>
    <w:rsid w:val="004F1359"/>
    <w:rsid w:val="004F3065"/>
    <w:rsid w:val="00502124"/>
    <w:rsid w:val="005029A3"/>
    <w:rsid w:val="00502C0D"/>
    <w:rsid w:val="00533EA2"/>
    <w:rsid w:val="00540898"/>
    <w:rsid w:val="005504A0"/>
    <w:rsid w:val="0055125D"/>
    <w:rsid w:val="00565A44"/>
    <w:rsid w:val="0058625E"/>
    <w:rsid w:val="005B1271"/>
    <w:rsid w:val="005B4F1F"/>
    <w:rsid w:val="005F1026"/>
    <w:rsid w:val="00600ADA"/>
    <w:rsid w:val="00602E8A"/>
    <w:rsid w:val="0062367E"/>
    <w:rsid w:val="00625DF3"/>
    <w:rsid w:val="0062630B"/>
    <w:rsid w:val="0064531F"/>
    <w:rsid w:val="006717FC"/>
    <w:rsid w:val="006878CF"/>
    <w:rsid w:val="0069070F"/>
    <w:rsid w:val="006943EF"/>
    <w:rsid w:val="006A2529"/>
    <w:rsid w:val="006B104D"/>
    <w:rsid w:val="006C319D"/>
    <w:rsid w:val="006E3FAB"/>
    <w:rsid w:val="006E4FD1"/>
    <w:rsid w:val="00766DD5"/>
    <w:rsid w:val="007777C5"/>
    <w:rsid w:val="007862DD"/>
    <w:rsid w:val="007B0844"/>
    <w:rsid w:val="007B3131"/>
    <w:rsid w:val="007B44FD"/>
    <w:rsid w:val="007B79F6"/>
    <w:rsid w:val="007D0D4E"/>
    <w:rsid w:val="007F250E"/>
    <w:rsid w:val="007F60DF"/>
    <w:rsid w:val="007F7A10"/>
    <w:rsid w:val="007F7E96"/>
    <w:rsid w:val="00813C9E"/>
    <w:rsid w:val="00821DBF"/>
    <w:rsid w:val="00852F5F"/>
    <w:rsid w:val="00866788"/>
    <w:rsid w:val="0088060C"/>
    <w:rsid w:val="00891F97"/>
    <w:rsid w:val="00892108"/>
    <w:rsid w:val="00897312"/>
    <w:rsid w:val="008979BE"/>
    <w:rsid w:val="008A5CB3"/>
    <w:rsid w:val="008C165C"/>
    <w:rsid w:val="008C2182"/>
    <w:rsid w:val="008C675B"/>
    <w:rsid w:val="008D0360"/>
    <w:rsid w:val="008F7F43"/>
    <w:rsid w:val="00910DC4"/>
    <w:rsid w:val="0091743B"/>
    <w:rsid w:val="00933FB5"/>
    <w:rsid w:val="0094082A"/>
    <w:rsid w:val="00946211"/>
    <w:rsid w:val="00950096"/>
    <w:rsid w:val="0096049D"/>
    <w:rsid w:val="009678DA"/>
    <w:rsid w:val="00991E7A"/>
    <w:rsid w:val="009C304F"/>
    <w:rsid w:val="009C52FE"/>
    <w:rsid w:val="009E7F0B"/>
    <w:rsid w:val="00A12E10"/>
    <w:rsid w:val="00A15D91"/>
    <w:rsid w:val="00A22CBA"/>
    <w:rsid w:val="00A30392"/>
    <w:rsid w:val="00A30607"/>
    <w:rsid w:val="00A954A9"/>
    <w:rsid w:val="00AA3398"/>
    <w:rsid w:val="00AC4F9F"/>
    <w:rsid w:val="00AC4FB9"/>
    <w:rsid w:val="00AE0EDA"/>
    <w:rsid w:val="00AE27F2"/>
    <w:rsid w:val="00AE2981"/>
    <w:rsid w:val="00B23995"/>
    <w:rsid w:val="00B23D90"/>
    <w:rsid w:val="00B351A7"/>
    <w:rsid w:val="00B46361"/>
    <w:rsid w:val="00B46B92"/>
    <w:rsid w:val="00B503F8"/>
    <w:rsid w:val="00B56D55"/>
    <w:rsid w:val="00B72DC0"/>
    <w:rsid w:val="00B7398C"/>
    <w:rsid w:val="00B83385"/>
    <w:rsid w:val="00B8788B"/>
    <w:rsid w:val="00B9265D"/>
    <w:rsid w:val="00BB5123"/>
    <w:rsid w:val="00BC759F"/>
    <w:rsid w:val="00BD1466"/>
    <w:rsid w:val="00BD173F"/>
    <w:rsid w:val="00BD445D"/>
    <w:rsid w:val="00BE4F1C"/>
    <w:rsid w:val="00BF3A65"/>
    <w:rsid w:val="00C22CBE"/>
    <w:rsid w:val="00C3336D"/>
    <w:rsid w:val="00C42A75"/>
    <w:rsid w:val="00C72722"/>
    <w:rsid w:val="00C76224"/>
    <w:rsid w:val="00C83DB0"/>
    <w:rsid w:val="00CB6496"/>
    <w:rsid w:val="00CC6B67"/>
    <w:rsid w:val="00CF1BEF"/>
    <w:rsid w:val="00CF5400"/>
    <w:rsid w:val="00D046FD"/>
    <w:rsid w:val="00D26DC2"/>
    <w:rsid w:val="00D33CB5"/>
    <w:rsid w:val="00D35ECB"/>
    <w:rsid w:val="00D44014"/>
    <w:rsid w:val="00D44FF0"/>
    <w:rsid w:val="00D45F12"/>
    <w:rsid w:val="00D46B32"/>
    <w:rsid w:val="00D51594"/>
    <w:rsid w:val="00D60C0E"/>
    <w:rsid w:val="00D62DDC"/>
    <w:rsid w:val="00D655BE"/>
    <w:rsid w:val="00D721B7"/>
    <w:rsid w:val="00D74DC5"/>
    <w:rsid w:val="00DB35DB"/>
    <w:rsid w:val="00DF23E4"/>
    <w:rsid w:val="00DF4344"/>
    <w:rsid w:val="00E24F45"/>
    <w:rsid w:val="00E36951"/>
    <w:rsid w:val="00E41A49"/>
    <w:rsid w:val="00E61CAA"/>
    <w:rsid w:val="00E74A4E"/>
    <w:rsid w:val="00E81086"/>
    <w:rsid w:val="00E86B0F"/>
    <w:rsid w:val="00E936FD"/>
    <w:rsid w:val="00E949FB"/>
    <w:rsid w:val="00E94BA5"/>
    <w:rsid w:val="00E962F7"/>
    <w:rsid w:val="00EA3102"/>
    <w:rsid w:val="00EB3545"/>
    <w:rsid w:val="00ED32FD"/>
    <w:rsid w:val="00ED7EE8"/>
    <w:rsid w:val="00EF325A"/>
    <w:rsid w:val="00F0171B"/>
    <w:rsid w:val="00F025DF"/>
    <w:rsid w:val="00F51E3C"/>
    <w:rsid w:val="00FC5998"/>
    <w:rsid w:val="00FD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3AA24-78F6-49C3-9DA9-9976368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359"/>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14675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1359"/>
    <w:pPr>
      <w:widowControl w:val="0"/>
      <w:autoSpaceDE w:val="0"/>
      <w:autoSpaceDN w:val="0"/>
      <w:adjustRightInd w:val="0"/>
      <w:ind w:left="820"/>
    </w:pPr>
    <w:rPr>
      <w:rFonts w:ascii="Times New Roman" w:hAnsi="Times New Roman"/>
      <w:lang w:bidi="ar-SA"/>
    </w:rPr>
  </w:style>
  <w:style w:type="character" w:customStyle="1" w:styleId="BodyTextChar">
    <w:name w:val="Body Text Char"/>
    <w:basedOn w:val="DefaultParagraphFont"/>
    <w:link w:val="BodyText"/>
    <w:uiPriority w:val="99"/>
    <w:rsid w:val="004F1359"/>
    <w:rPr>
      <w:rFonts w:ascii="Times New Roman" w:eastAsiaTheme="minorEastAsia" w:hAnsi="Times New Roman" w:cs="Times New Roman"/>
      <w:sz w:val="24"/>
      <w:szCs w:val="24"/>
    </w:rPr>
  </w:style>
  <w:style w:type="paragraph" w:styleId="ListParagraph">
    <w:name w:val="List Paragraph"/>
    <w:basedOn w:val="Normal"/>
    <w:uiPriority w:val="34"/>
    <w:qFormat/>
    <w:rsid w:val="0037292F"/>
    <w:pPr>
      <w:ind w:left="720"/>
      <w:contextualSpacing/>
    </w:pPr>
  </w:style>
  <w:style w:type="table" w:styleId="TableGrid">
    <w:name w:val="Table Grid"/>
    <w:basedOn w:val="TableNormal"/>
    <w:uiPriority w:val="39"/>
    <w:rsid w:val="003D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6758"/>
    <w:rPr>
      <w:b/>
      <w:bCs/>
    </w:rPr>
  </w:style>
  <w:style w:type="paragraph" w:styleId="NormalWeb">
    <w:name w:val="Normal (Web)"/>
    <w:basedOn w:val="Normal"/>
    <w:uiPriority w:val="99"/>
    <w:unhideWhenUsed/>
    <w:rsid w:val="00146758"/>
    <w:pPr>
      <w:spacing w:before="100" w:beforeAutospacing="1" w:after="100" w:afterAutospacing="1"/>
    </w:pPr>
    <w:rPr>
      <w:rFonts w:ascii="Times New Roman" w:eastAsia="Times New Roman" w:hAnsi="Times New Roman"/>
      <w:lang w:bidi="ar-SA"/>
    </w:rPr>
  </w:style>
  <w:style w:type="character" w:customStyle="1" w:styleId="Heading1Char">
    <w:name w:val="Heading 1 Char"/>
    <w:basedOn w:val="DefaultParagraphFont"/>
    <w:link w:val="Heading1"/>
    <w:uiPriority w:val="9"/>
    <w:rsid w:val="00146758"/>
    <w:rPr>
      <w:rFonts w:asciiTheme="majorHAnsi" w:eastAsiaTheme="majorEastAsia" w:hAnsiTheme="majorHAnsi" w:cs="Times New Roman"/>
      <w:b/>
      <w:bCs/>
      <w:kern w:val="32"/>
      <w:sz w:val="32"/>
      <w:szCs w:val="32"/>
      <w:lang w:bidi="en-US"/>
    </w:rPr>
  </w:style>
  <w:style w:type="character" w:customStyle="1" w:styleId="xbe">
    <w:name w:val="_xbe"/>
    <w:basedOn w:val="DefaultParagraphFont"/>
    <w:rsid w:val="0014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Robert Tabor</cp:lastModifiedBy>
  <cp:revision>2</cp:revision>
  <dcterms:created xsi:type="dcterms:W3CDTF">2017-05-08T19:25:00Z</dcterms:created>
  <dcterms:modified xsi:type="dcterms:W3CDTF">2017-05-08T19:25:00Z</dcterms:modified>
</cp:coreProperties>
</file>